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F12357" w14:textId="77777777" w:rsidR="00155632" w:rsidRDefault="00155632" w:rsidP="00A90201">
      <w:pPr>
        <w:pStyle w:val="NoSpacing"/>
        <w:jc w:val="center"/>
      </w:pPr>
    </w:p>
    <w:p w14:paraId="385ABC01" w14:textId="77777777" w:rsidR="00155632" w:rsidRDefault="00155632" w:rsidP="00A90201">
      <w:pPr>
        <w:pStyle w:val="NoSpacing"/>
        <w:jc w:val="center"/>
      </w:pPr>
    </w:p>
    <w:p w14:paraId="5CCBB914" w14:textId="77777777" w:rsidR="00155632" w:rsidRDefault="00155632" w:rsidP="00A90201">
      <w:pPr>
        <w:pStyle w:val="NoSpacing"/>
        <w:jc w:val="center"/>
      </w:pPr>
    </w:p>
    <w:p w14:paraId="16F917CF" w14:textId="77777777" w:rsidR="00155632" w:rsidRDefault="00155632" w:rsidP="00A90201">
      <w:pPr>
        <w:pStyle w:val="NoSpacing"/>
        <w:jc w:val="center"/>
      </w:pPr>
    </w:p>
    <w:p w14:paraId="0FE6A586" w14:textId="77777777" w:rsidR="00155632" w:rsidRDefault="00155632" w:rsidP="00A90201">
      <w:pPr>
        <w:pStyle w:val="NoSpacing"/>
        <w:jc w:val="center"/>
      </w:pPr>
    </w:p>
    <w:p w14:paraId="328885B9" w14:textId="77777777" w:rsidR="00155632" w:rsidRDefault="00155632" w:rsidP="00A90201">
      <w:pPr>
        <w:pStyle w:val="NoSpacing"/>
        <w:jc w:val="center"/>
      </w:pPr>
    </w:p>
    <w:p w14:paraId="41E1C866" w14:textId="77777777" w:rsidR="00636354" w:rsidRDefault="00636354" w:rsidP="00636354">
      <w:pPr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>Financial Education Association (FEA)</w:t>
      </w:r>
    </w:p>
    <w:p w14:paraId="0DD1CA86" w14:textId="77777777" w:rsidR="00636354" w:rsidRDefault="00636354" w:rsidP="00636354">
      <w:pPr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>21</w:t>
      </w:r>
      <w:r w:rsidRPr="00636354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Annual Conference (1</w:t>
      </w:r>
      <w:r w:rsidRPr="00636354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Virtual Version)</w:t>
      </w:r>
    </w:p>
    <w:p w14:paraId="115A3DEA" w14:textId="44532583" w:rsidR="00636354" w:rsidRDefault="00636354" w:rsidP="00636354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September 17-19, 2020</w:t>
      </w:r>
    </w:p>
    <w:p w14:paraId="5312EFA0" w14:textId="77777777" w:rsidR="00636354" w:rsidRDefault="00636354" w:rsidP="00636354">
      <w:pPr>
        <w:pStyle w:val="NoSpacing"/>
        <w:jc w:val="center"/>
        <w:rPr>
          <w:sz w:val="24"/>
          <w:szCs w:val="24"/>
        </w:rPr>
      </w:pPr>
    </w:p>
    <w:p w14:paraId="755D3614" w14:textId="680A890F" w:rsidR="00636354" w:rsidRDefault="00636354" w:rsidP="00A90201">
      <w:pPr>
        <w:pStyle w:val="NoSpacing"/>
        <w:jc w:val="center"/>
        <w:rPr>
          <w:sz w:val="24"/>
          <w:szCs w:val="24"/>
        </w:rPr>
      </w:pPr>
    </w:p>
    <w:p w14:paraId="7738E1CF" w14:textId="5C3BA87A" w:rsidR="00636354" w:rsidRDefault="00636354" w:rsidP="00A90201">
      <w:pPr>
        <w:pStyle w:val="NoSpacing"/>
        <w:jc w:val="center"/>
        <w:rPr>
          <w:sz w:val="24"/>
          <w:szCs w:val="24"/>
        </w:rPr>
      </w:pPr>
    </w:p>
    <w:p w14:paraId="77BB27E9" w14:textId="61F6FC72" w:rsidR="00636354" w:rsidRDefault="00636354" w:rsidP="00A90201">
      <w:pPr>
        <w:pStyle w:val="NoSpacing"/>
        <w:jc w:val="center"/>
        <w:rPr>
          <w:sz w:val="24"/>
          <w:szCs w:val="24"/>
        </w:rPr>
      </w:pPr>
    </w:p>
    <w:p w14:paraId="5B3F8358" w14:textId="77777777" w:rsidR="00636354" w:rsidRDefault="00636354" w:rsidP="00A90201">
      <w:pPr>
        <w:pStyle w:val="NoSpacing"/>
        <w:jc w:val="center"/>
        <w:rPr>
          <w:sz w:val="24"/>
          <w:szCs w:val="24"/>
        </w:rPr>
      </w:pPr>
    </w:p>
    <w:p w14:paraId="47FFD438" w14:textId="187FAEAF" w:rsidR="00264A56" w:rsidRPr="0013703E" w:rsidRDefault="009E5817" w:rsidP="00A90201">
      <w:pPr>
        <w:pStyle w:val="NoSpacing"/>
        <w:jc w:val="center"/>
        <w:rPr>
          <w:sz w:val="24"/>
          <w:szCs w:val="24"/>
        </w:rPr>
      </w:pPr>
      <w:r w:rsidRPr="0013703E">
        <w:rPr>
          <w:sz w:val="24"/>
          <w:szCs w:val="24"/>
        </w:rPr>
        <w:t>Joann Fredrickson</w:t>
      </w:r>
    </w:p>
    <w:p w14:paraId="595C4997" w14:textId="3BD963F6" w:rsidR="009E5817" w:rsidRPr="0013703E" w:rsidRDefault="009E5817" w:rsidP="00A90201">
      <w:pPr>
        <w:pStyle w:val="NoSpacing"/>
        <w:jc w:val="center"/>
        <w:rPr>
          <w:sz w:val="24"/>
          <w:szCs w:val="24"/>
        </w:rPr>
      </w:pPr>
      <w:r w:rsidRPr="0013703E">
        <w:rPr>
          <w:sz w:val="24"/>
          <w:szCs w:val="24"/>
        </w:rPr>
        <w:t>Professor of Business Administration</w:t>
      </w:r>
    </w:p>
    <w:p w14:paraId="4B789D9F" w14:textId="6D69C303" w:rsidR="009E5817" w:rsidRPr="0013703E" w:rsidRDefault="009E5817" w:rsidP="00A90201">
      <w:pPr>
        <w:pStyle w:val="NoSpacing"/>
        <w:jc w:val="center"/>
        <w:rPr>
          <w:sz w:val="24"/>
          <w:szCs w:val="24"/>
        </w:rPr>
      </w:pPr>
      <w:r w:rsidRPr="0013703E">
        <w:rPr>
          <w:sz w:val="24"/>
          <w:szCs w:val="24"/>
        </w:rPr>
        <w:t>Bemidji State University, Bemidji MN</w:t>
      </w:r>
      <w:r w:rsidR="00FE2C10" w:rsidRPr="0013703E">
        <w:rPr>
          <w:sz w:val="24"/>
          <w:szCs w:val="24"/>
        </w:rPr>
        <w:t xml:space="preserve"> 56601</w:t>
      </w:r>
    </w:p>
    <w:p w14:paraId="0D6B2967" w14:textId="3F72C4D9" w:rsidR="00FE2C10" w:rsidRPr="0013703E" w:rsidRDefault="00636354" w:rsidP="00A90201">
      <w:pPr>
        <w:pStyle w:val="NoSpacing"/>
        <w:jc w:val="center"/>
        <w:rPr>
          <w:sz w:val="24"/>
          <w:szCs w:val="24"/>
        </w:rPr>
      </w:pPr>
      <w:hyperlink r:id="rId7" w:history="1">
        <w:r w:rsidR="004F7FDC" w:rsidRPr="0013703E">
          <w:rPr>
            <w:rStyle w:val="Hyperlink"/>
            <w:bCs/>
            <w:sz w:val="24"/>
            <w:szCs w:val="24"/>
          </w:rPr>
          <w:t>Joann.Fredrickson@bemidjistate.edu</w:t>
        </w:r>
      </w:hyperlink>
    </w:p>
    <w:p w14:paraId="77564117" w14:textId="3A7ECDB8" w:rsidR="004F7FDC" w:rsidRPr="0013703E" w:rsidRDefault="00A90201" w:rsidP="00A90201">
      <w:pPr>
        <w:pStyle w:val="NoSpacing"/>
        <w:jc w:val="center"/>
        <w:rPr>
          <w:sz w:val="24"/>
          <w:szCs w:val="24"/>
        </w:rPr>
      </w:pPr>
      <w:r w:rsidRPr="0013703E">
        <w:rPr>
          <w:sz w:val="24"/>
          <w:szCs w:val="24"/>
        </w:rPr>
        <w:t>218-755-2</w:t>
      </w:r>
      <w:r w:rsidR="00155632" w:rsidRPr="0013703E">
        <w:rPr>
          <w:sz w:val="24"/>
          <w:szCs w:val="24"/>
        </w:rPr>
        <w:t>7</w:t>
      </w:r>
      <w:r w:rsidRPr="0013703E">
        <w:rPr>
          <w:sz w:val="24"/>
          <w:szCs w:val="24"/>
        </w:rPr>
        <w:t>55</w:t>
      </w:r>
    </w:p>
    <w:p w14:paraId="01E2E4C0" w14:textId="00EAA901" w:rsidR="00B56418" w:rsidRPr="0013703E" w:rsidRDefault="00B56418" w:rsidP="00A90201">
      <w:pPr>
        <w:pStyle w:val="NoSpacing"/>
        <w:jc w:val="center"/>
        <w:rPr>
          <w:sz w:val="24"/>
          <w:szCs w:val="24"/>
        </w:rPr>
      </w:pPr>
    </w:p>
    <w:p w14:paraId="0FD5ABCB" w14:textId="77777777" w:rsidR="00495E04" w:rsidRPr="0013703E" w:rsidRDefault="00495E04" w:rsidP="00495E04">
      <w:pPr>
        <w:widowControl/>
        <w:jc w:val="center"/>
        <w:rPr>
          <w:b/>
          <w:sz w:val="24"/>
          <w:szCs w:val="24"/>
        </w:rPr>
      </w:pPr>
    </w:p>
    <w:p w14:paraId="132C54EE" w14:textId="77777777" w:rsidR="00495E04" w:rsidRPr="0013703E" w:rsidRDefault="00495E04" w:rsidP="00495E04">
      <w:pPr>
        <w:widowControl/>
        <w:jc w:val="center"/>
        <w:rPr>
          <w:b/>
          <w:sz w:val="24"/>
          <w:szCs w:val="24"/>
        </w:rPr>
      </w:pPr>
      <w:r w:rsidRPr="0013703E">
        <w:rPr>
          <w:b/>
          <w:sz w:val="24"/>
          <w:szCs w:val="24"/>
        </w:rPr>
        <w:t>Predicting Student Effort: Assessing the Importance of Academic Preparation, Course Challenge, and Teaching Effectiveness</w:t>
      </w:r>
    </w:p>
    <w:p w14:paraId="456242F6" w14:textId="0FCA9C6E" w:rsidR="00495E04" w:rsidRPr="0013703E" w:rsidRDefault="00495E04" w:rsidP="00A90201">
      <w:pPr>
        <w:pStyle w:val="NoSpacing"/>
        <w:jc w:val="center"/>
        <w:rPr>
          <w:sz w:val="24"/>
          <w:szCs w:val="24"/>
        </w:rPr>
      </w:pPr>
    </w:p>
    <w:p w14:paraId="7AD967F2" w14:textId="687D605D" w:rsidR="00B10EA5" w:rsidRDefault="00B10EA5" w:rsidP="00B9015B">
      <w:pPr>
        <w:widowControl/>
        <w:spacing w:after="160" w:line="259" w:lineRule="auto"/>
        <w:rPr>
          <w:sz w:val="24"/>
          <w:szCs w:val="24"/>
        </w:rPr>
      </w:pPr>
    </w:p>
    <w:p w14:paraId="4DFED64E" w14:textId="77777777" w:rsidR="00524901" w:rsidRDefault="00524901">
      <w:pPr>
        <w:widowControl/>
        <w:spacing w:after="160" w:line="259" w:lineRule="auto"/>
        <w:rPr>
          <w:sz w:val="24"/>
          <w:szCs w:val="24"/>
        </w:rPr>
      </w:pPr>
    </w:p>
    <w:p w14:paraId="2CE6C2CD" w14:textId="67C0A808" w:rsidR="00524901" w:rsidRDefault="00524901" w:rsidP="00636354">
      <w:pPr>
        <w:widowControl/>
        <w:spacing w:after="160" w:line="259" w:lineRule="auto"/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CF5D6C3" w14:textId="77777777" w:rsidR="00524901" w:rsidRPr="0013703E" w:rsidRDefault="00524901" w:rsidP="00B9015B">
      <w:pPr>
        <w:widowControl/>
        <w:spacing w:after="160" w:line="259" w:lineRule="auto"/>
        <w:rPr>
          <w:sz w:val="24"/>
          <w:szCs w:val="24"/>
        </w:rPr>
      </w:pPr>
    </w:p>
    <w:p w14:paraId="77282804" w14:textId="0B37FD5D" w:rsidR="005E3E46" w:rsidRDefault="002E6465" w:rsidP="002E6465">
      <w:pPr>
        <w:widowControl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ABSTRACT</w:t>
      </w:r>
    </w:p>
    <w:p w14:paraId="74C12C64" w14:textId="77777777" w:rsidR="00CB22BC" w:rsidRDefault="00CB22BC" w:rsidP="002E6465">
      <w:pPr>
        <w:widowControl/>
        <w:jc w:val="center"/>
        <w:rPr>
          <w:b/>
          <w:sz w:val="24"/>
          <w:szCs w:val="24"/>
        </w:rPr>
      </w:pPr>
    </w:p>
    <w:p w14:paraId="63B44E8B" w14:textId="3A5E6DCB" w:rsidR="000B422A" w:rsidRDefault="00510877" w:rsidP="000B422A">
      <w:pPr>
        <w:widowControl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005380">
        <w:rPr>
          <w:b/>
          <w:sz w:val="24"/>
          <w:szCs w:val="24"/>
        </w:rPr>
        <w:t xml:space="preserve">redicting </w:t>
      </w:r>
      <w:r>
        <w:rPr>
          <w:b/>
          <w:sz w:val="24"/>
          <w:szCs w:val="24"/>
        </w:rPr>
        <w:t>Student Effort</w:t>
      </w:r>
      <w:r w:rsidR="007D6219">
        <w:rPr>
          <w:b/>
          <w:sz w:val="24"/>
          <w:szCs w:val="24"/>
        </w:rPr>
        <w:t>: Assessing the Im</w:t>
      </w:r>
      <w:r w:rsidR="003A2395">
        <w:rPr>
          <w:b/>
          <w:sz w:val="24"/>
          <w:szCs w:val="24"/>
        </w:rPr>
        <w:t xml:space="preserve">portance </w:t>
      </w:r>
      <w:r w:rsidR="007D6219">
        <w:rPr>
          <w:b/>
          <w:sz w:val="24"/>
          <w:szCs w:val="24"/>
        </w:rPr>
        <w:t xml:space="preserve">of </w:t>
      </w:r>
      <w:r w:rsidR="00005380">
        <w:rPr>
          <w:b/>
          <w:sz w:val="24"/>
          <w:szCs w:val="24"/>
        </w:rPr>
        <w:t>Academic Preparation, Course Challenge, and Teaching Effectiveness</w:t>
      </w:r>
    </w:p>
    <w:p w14:paraId="2A424F51" w14:textId="77777777" w:rsidR="00510877" w:rsidRPr="00E15491" w:rsidRDefault="00510877" w:rsidP="000B422A">
      <w:pPr>
        <w:widowControl/>
        <w:jc w:val="center"/>
        <w:rPr>
          <w:b/>
          <w:sz w:val="24"/>
          <w:szCs w:val="24"/>
        </w:rPr>
      </w:pPr>
    </w:p>
    <w:p w14:paraId="1A0FAF74" w14:textId="3338FA02" w:rsidR="00015006" w:rsidRPr="0013703E" w:rsidRDefault="005E3E46" w:rsidP="005E3E46">
      <w:pPr>
        <w:widowControl/>
        <w:rPr>
          <w:sz w:val="24"/>
          <w:szCs w:val="24"/>
        </w:rPr>
      </w:pPr>
      <w:r w:rsidRPr="0013703E">
        <w:rPr>
          <w:sz w:val="24"/>
          <w:szCs w:val="24"/>
        </w:rPr>
        <w:t>This</w:t>
      </w:r>
      <w:r w:rsidR="000D3D2E" w:rsidRPr="0013703E">
        <w:rPr>
          <w:sz w:val="24"/>
          <w:szCs w:val="24"/>
        </w:rPr>
        <w:t xml:space="preserve"> research examines </w:t>
      </w:r>
      <w:r w:rsidR="002E51A4" w:rsidRPr="0013703E">
        <w:rPr>
          <w:sz w:val="24"/>
          <w:szCs w:val="24"/>
        </w:rPr>
        <w:t>factors that influence the level of effort students expend in their college coursework</w:t>
      </w:r>
      <w:r w:rsidR="00D00348" w:rsidRPr="0013703E">
        <w:rPr>
          <w:sz w:val="24"/>
          <w:szCs w:val="24"/>
        </w:rPr>
        <w:t xml:space="preserve">. </w:t>
      </w:r>
      <w:r w:rsidR="005E282B" w:rsidRPr="0013703E">
        <w:rPr>
          <w:sz w:val="24"/>
          <w:szCs w:val="24"/>
        </w:rPr>
        <w:t xml:space="preserve">In </w:t>
      </w:r>
      <w:r w:rsidR="00015006" w:rsidRPr="0013703E">
        <w:rPr>
          <w:sz w:val="24"/>
          <w:szCs w:val="24"/>
        </w:rPr>
        <w:t xml:space="preserve">applying </w:t>
      </w:r>
      <w:proofErr w:type="spellStart"/>
      <w:r w:rsidR="00015006" w:rsidRPr="0013703E">
        <w:rPr>
          <w:sz w:val="24"/>
          <w:szCs w:val="24"/>
        </w:rPr>
        <w:t>Astin’s</w:t>
      </w:r>
      <w:proofErr w:type="spellEnd"/>
      <w:r w:rsidR="00015006" w:rsidRPr="0013703E">
        <w:rPr>
          <w:sz w:val="24"/>
          <w:szCs w:val="24"/>
        </w:rPr>
        <w:t xml:space="preserve"> </w:t>
      </w:r>
      <w:r w:rsidR="00133BB5" w:rsidRPr="0013703E">
        <w:rPr>
          <w:sz w:val="24"/>
          <w:szCs w:val="24"/>
        </w:rPr>
        <w:t xml:space="preserve">(1993) </w:t>
      </w:r>
      <w:r w:rsidR="00015006" w:rsidRPr="0013703E">
        <w:rPr>
          <w:sz w:val="24"/>
          <w:szCs w:val="24"/>
        </w:rPr>
        <w:t xml:space="preserve">“Input-Environment-Outcomes” assessment model, this </w:t>
      </w:r>
      <w:r w:rsidR="00B23F7A" w:rsidRPr="0013703E">
        <w:rPr>
          <w:sz w:val="24"/>
          <w:szCs w:val="24"/>
        </w:rPr>
        <w:t xml:space="preserve">project </w:t>
      </w:r>
      <w:r w:rsidR="00015006" w:rsidRPr="0013703E">
        <w:rPr>
          <w:sz w:val="24"/>
          <w:szCs w:val="24"/>
        </w:rPr>
        <w:t xml:space="preserve">seeks </w:t>
      </w:r>
      <w:r w:rsidR="00133BB5" w:rsidRPr="0013703E">
        <w:rPr>
          <w:sz w:val="24"/>
          <w:szCs w:val="24"/>
        </w:rPr>
        <w:t xml:space="preserve">answers </w:t>
      </w:r>
      <w:r w:rsidR="00112352" w:rsidRPr="0013703E">
        <w:rPr>
          <w:sz w:val="24"/>
          <w:szCs w:val="24"/>
        </w:rPr>
        <w:t xml:space="preserve">to </w:t>
      </w:r>
      <w:r w:rsidR="00015006" w:rsidRPr="0013703E">
        <w:rPr>
          <w:sz w:val="24"/>
          <w:szCs w:val="24"/>
        </w:rPr>
        <w:t xml:space="preserve">two questions. </w:t>
      </w:r>
      <w:r w:rsidR="00CC2DBE" w:rsidRPr="0013703E">
        <w:rPr>
          <w:sz w:val="24"/>
          <w:szCs w:val="24"/>
        </w:rPr>
        <w:t>The first question</w:t>
      </w:r>
      <w:r w:rsidR="00015006" w:rsidRPr="0013703E">
        <w:rPr>
          <w:sz w:val="24"/>
          <w:szCs w:val="24"/>
        </w:rPr>
        <w:t xml:space="preserve"> seeks to determine the extent to which </w:t>
      </w:r>
      <w:r w:rsidR="00CC2DBE" w:rsidRPr="0013703E">
        <w:rPr>
          <w:sz w:val="24"/>
          <w:szCs w:val="24"/>
        </w:rPr>
        <w:t xml:space="preserve">“input” characteristics of </w:t>
      </w:r>
      <w:r w:rsidR="00B23F7A" w:rsidRPr="0013703E">
        <w:rPr>
          <w:sz w:val="24"/>
          <w:szCs w:val="24"/>
        </w:rPr>
        <w:t>academic preparation</w:t>
      </w:r>
      <w:r w:rsidR="00B902A8" w:rsidRPr="0013703E">
        <w:rPr>
          <w:sz w:val="24"/>
          <w:szCs w:val="24"/>
        </w:rPr>
        <w:t xml:space="preserve"> </w:t>
      </w:r>
      <w:r w:rsidR="00D429D1" w:rsidRPr="0013703E">
        <w:rPr>
          <w:sz w:val="24"/>
          <w:szCs w:val="24"/>
        </w:rPr>
        <w:t xml:space="preserve">combine </w:t>
      </w:r>
      <w:r w:rsidR="00015006" w:rsidRPr="0013703E">
        <w:rPr>
          <w:sz w:val="24"/>
          <w:szCs w:val="24"/>
        </w:rPr>
        <w:t>with “</w:t>
      </w:r>
      <w:r w:rsidR="00B902A8" w:rsidRPr="0013703E">
        <w:rPr>
          <w:sz w:val="24"/>
          <w:szCs w:val="24"/>
        </w:rPr>
        <w:t>e</w:t>
      </w:r>
      <w:r w:rsidR="00015006" w:rsidRPr="0013703E">
        <w:rPr>
          <w:sz w:val="24"/>
          <w:szCs w:val="24"/>
        </w:rPr>
        <w:t>nvironmental”</w:t>
      </w:r>
      <w:r w:rsidR="004A1B94" w:rsidRPr="0013703E">
        <w:rPr>
          <w:sz w:val="24"/>
          <w:szCs w:val="24"/>
        </w:rPr>
        <w:t xml:space="preserve"> experiences</w:t>
      </w:r>
      <w:r w:rsidR="00A01832" w:rsidRPr="0013703E">
        <w:rPr>
          <w:sz w:val="24"/>
          <w:szCs w:val="24"/>
        </w:rPr>
        <w:t xml:space="preserve"> (</w:t>
      </w:r>
      <w:r w:rsidR="00015006" w:rsidRPr="0013703E">
        <w:rPr>
          <w:sz w:val="24"/>
          <w:szCs w:val="24"/>
        </w:rPr>
        <w:t xml:space="preserve">student perceptions of course challenge and teaching effectiveness) to predict </w:t>
      </w:r>
      <w:r w:rsidR="00A01832" w:rsidRPr="0013703E">
        <w:rPr>
          <w:sz w:val="24"/>
          <w:szCs w:val="24"/>
        </w:rPr>
        <w:t>student effort levels.</w:t>
      </w:r>
      <w:r w:rsidR="00CC2DBE" w:rsidRPr="0013703E">
        <w:rPr>
          <w:sz w:val="24"/>
          <w:szCs w:val="24"/>
        </w:rPr>
        <w:t xml:space="preserve"> </w:t>
      </w:r>
      <w:r w:rsidR="00015006" w:rsidRPr="0013703E">
        <w:rPr>
          <w:sz w:val="24"/>
          <w:szCs w:val="24"/>
        </w:rPr>
        <w:t xml:space="preserve">The second research question </w:t>
      </w:r>
      <w:r w:rsidR="00FB5106" w:rsidRPr="0013703E">
        <w:rPr>
          <w:sz w:val="24"/>
          <w:szCs w:val="24"/>
        </w:rPr>
        <w:t>seeks to extend</w:t>
      </w:r>
      <w:r w:rsidR="003D4CDD" w:rsidRPr="0013703E">
        <w:rPr>
          <w:sz w:val="24"/>
          <w:szCs w:val="24"/>
        </w:rPr>
        <w:t xml:space="preserve"> the </w:t>
      </w:r>
      <w:r w:rsidR="00FB5106" w:rsidRPr="0013703E">
        <w:rPr>
          <w:sz w:val="24"/>
          <w:szCs w:val="24"/>
        </w:rPr>
        <w:t xml:space="preserve">predictive </w:t>
      </w:r>
      <w:r w:rsidR="003D4CDD" w:rsidRPr="0013703E">
        <w:rPr>
          <w:sz w:val="24"/>
          <w:szCs w:val="24"/>
        </w:rPr>
        <w:t>model</w:t>
      </w:r>
      <w:r w:rsidR="00015006" w:rsidRPr="0013703E">
        <w:rPr>
          <w:sz w:val="24"/>
          <w:szCs w:val="24"/>
        </w:rPr>
        <w:t xml:space="preserve"> </w:t>
      </w:r>
      <w:r w:rsidR="00CC2DBE" w:rsidRPr="0013703E">
        <w:rPr>
          <w:sz w:val="24"/>
          <w:szCs w:val="24"/>
        </w:rPr>
        <w:t xml:space="preserve">from measures of student effort to measures of </w:t>
      </w:r>
      <w:r w:rsidR="00015006" w:rsidRPr="0013703E">
        <w:rPr>
          <w:sz w:val="24"/>
          <w:szCs w:val="24"/>
        </w:rPr>
        <w:t>student learning.</w:t>
      </w:r>
      <w:r w:rsidR="00D429D1" w:rsidRPr="0013703E">
        <w:rPr>
          <w:sz w:val="24"/>
          <w:szCs w:val="24"/>
        </w:rPr>
        <w:t xml:space="preserve"> </w:t>
      </w:r>
    </w:p>
    <w:p w14:paraId="07B38713" w14:textId="77777777" w:rsidR="00015006" w:rsidRPr="0013703E" w:rsidRDefault="00015006" w:rsidP="005E3E46">
      <w:pPr>
        <w:widowControl/>
        <w:rPr>
          <w:sz w:val="24"/>
          <w:szCs w:val="24"/>
        </w:rPr>
      </w:pPr>
    </w:p>
    <w:p w14:paraId="796C2276" w14:textId="6694C1AB" w:rsidR="003D4CDD" w:rsidRPr="0013703E" w:rsidRDefault="005E3E46" w:rsidP="005E3E46">
      <w:pPr>
        <w:widowControl/>
        <w:rPr>
          <w:sz w:val="24"/>
          <w:szCs w:val="24"/>
        </w:rPr>
      </w:pPr>
      <w:r w:rsidRPr="0013703E">
        <w:rPr>
          <w:sz w:val="24"/>
          <w:szCs w:val="24"/>
        </w:rPr>
        <w:t xml:space="preserve">Survey responses and measures of student performance were collected from college students enrolled in </w:t>
      </w:r>
      <w:r w:rsidR="00FB5106" w:rsidRPr="0013703E">
        <w:rPr>
          <w:sz w:val="24"/>
          <w:szCs w:val="24"/>
        </w:rPr>
        <w:t xml:space="preserve">an </w:t>
      </w:r>
      <w:r w:rsidRPr="0013703E">
        <w:rPr>
          <w:sz w:val="24"/>
          <w:szCs w:val="24"/>
        </w:rPr>
        <w:t>upper level business course.</w:t>
      </w:r>
      <w:r w:rsidR="00B56774" w:rsidRPr="0013703E">
        <w:rPr>
          <w:sz w:val="24"/>
          <w:szCs w:val="24"/>
        </w:rPr>
        <w:t xml:space="preserve"> </w:t>
      </w:r>
      <w:r w:rsidR="00456713" w:rsidRPr="0013703E">
        <w:rPr>
          <w:sz w:val="24"/>
          <w:szCs w:val="24"/>
        </w:rPr>
        <w:t>Measures of</w:t>
      </w:r>
      <w:r w:rsidR="0008651F" w:rsidRPr="0013703E">
        <w:rPr>
          <w:sz w:val="24"/>
          <w:szCs w:val="24"/>
        </w:rPr>
        <w:t xml:space="preserve"> teaching effectiveness (Delany et al. 2010)</w:t>
      </w:r>
      <w:r w:rsidR="007B6DE3" w:rsidRPr="0013703E">
        <w:rPr>
          <w:sz w:val="24"/>
          <w:szCs w:val="24"/>
        </w:rPr>
        <w:t xml:space="preserve">, student effort, </w:t>
      </w:r>
      <w:r w:rsidR="00F91786" w:rsidRPr="0013703E">
        <w:rPr>
          <w:sz w:val="24"/>
          <w:szCs w:val="24"/>
        </w:rPr>
        <w:t xml:space="preserve">course challenge, academic preparation, and other background characteristics are examined. </w:t>
      </w:r>
      <w:r w:rsidR="000748DC" w:rsidRPr="0013703E">
        <w:rPr>
          <w:sz w:val="24"/>
          <w:szCs w:val="24"/>
        </w:rPr>
        <w:t>Through a factor analysi</w:t>
      </w:r>
      <w:r w:rsidR="00BC273B" w:rsidRPr="0013703E">
        <w:rPr>
          <w:sz w:val="24"/>
          <w:szCs w:val="24"/>
        </w:rPr>
        <w:t xml:space="preserve">s, </w:t>
      </w:r>
      <w:r w:rsidR="001041C5" w:rsidRPr="0013703E">
        <w:rPr>
          <w:sz w:val="24"/>
          <w:szCs w:val="24"/>
        </w:rPr>
        <w:t>t</w:t>
      </w:r>
      <w:r w:rsidR="000245B1" w:rsidRPr="0013703E">
        <w:rPr>
          <w:sz w:val="24"/>
          <w:szCs w:val="24"/>
        </w:rPr>
        <w:t>wo</w:t>
      </w:r>
      <w:r w:rsidR="00B56774" w:rsidRPr="0013703E">
        <w:rPr>
          <w:sz w:val="24"/>
          <w:szCs w:val="24"/>
        </w:rPr>
        <w:t xml:space="preserve"> dimensions of teaching effectiveness</w:t>
      </w:r>
      <w:r w:rsidR="00492578" w:rsidRPr="0013703E">
        <w:rPr>
          <w:sz w:val="24"/>
          <w:szCs w:val="24"/>
        </w:rPr>
        <w:t xml:space="preserve"> </w:t>
      </w:r>
      <w:r w:rsidR="00B56774" w:rsidRPr="0013703E">
        <w:rPr>
          <w:sz w:val="24"/>
          <w:szCs w:val="24"/>
        </w:rPr>
        <w:t>emerged, namely measures of teacher helpfulness and teacher persona/style</w:t>
      </w:r>
      <w:r w:rsidR="001041C5" w:rsidRPr="0013703E">
        <w:rPr>
          <w:sz w:val="24"/>
          <w:szCs w:val="24"/>
        </w:rPr>
        <w:t xml:space="preserve">. </w:t>
      </w:r>
    </w:p>
    <w:p w14:paraId="0D2CBDE9" w14:textId="77777777" w:rsidR="003D4CDD" w:rsidRPr="0013703E" w:rsidRDefault="003D4CDD" w:rsidP="005E3E46">
      <w:pPr>
        <w:widowControl/>
        <w:rPr>
          <w:sz w:val="24"/>
          <w:szCs w:val="24"/>
        </w:rPr>
      </w:pPr>
    </w:p>
    <w:p w14:paraId="7EC28F8E" w14:textId="4521C8C9" w:rsidR="005E3E46" w:rsidRPr="0013703E" w:rsidRDefault="00470DB7" w:rsidP="005E3E46">
      <w:pPr>
        <w:widowControl/>
        <w:rPr>
          <w:sz w:val="24"/>
          <w:szCs w:val="24"/>
        </w:rPr>
      </w:pPr>
      <w:r w:rsidRPr="0013703E">
        <w:rPr>
          <w:sz w:val="24"/>
          <w:szCs w:val="24"/>
        </w:rPr>
        <w:t xml:space="preserve">The results </w:t>
      </w:r>
      <w:r w:rsidR="00AE4952" w:rsidRPr="0013703E">
        <w:rPr>
          <w:sz w:val="24"/>
          <w:szCs w:val="24"/>
        </w:rPr>
        <w:t>suggest students’</w:t>
      </w:r>
      <w:r w:rsidR="00CC2DBE" w:rsidRPr="0013703E">
        <w:rPr>
          <w:sz w:val="24"/>
          <w:szCs w:val="24"/>
        </w:rPr>
        <w:t xml:space="preserve"> level</w:t>
      </w:r>
      <w:r w:rsidR="00554907" w:rsidRPr="0013703E">
        <w:rPr>
          <w:sz w:val="24"/>
          <w:szCs w:val="24"/>
        </w:rPr>
        <w:t>s</w:t>
      </w:r>
      <w:r w:rsidR="00CC2DBE" w:rsidRPr="0013703E">
        <w:rPr>
          <w:sz w:val="24"/>
          <w:szCs w:val="24"/>
        </w:rPr>
        <w:t xml:space="preserve"> of academic preparation</w:t>
      </w:r>
      <w:r w:rsidR="0087784E" w:rsidRPr="0013703E">
        <w:rPr>
          <w:sz w:val="24"/>
          <w:szCs w:val="24"/>
        </w:rPr>
        <w:t>,</w:t>
      </w:r>
      <w:r w:rsidR="00CC2DBE" w:rsidRPr="0013703E">
        <w:rPr>
          <w:sz w:val="24"/>
          <w:szCs w:val="24"/>
        </w:rPr>
        <w:t xml:space="preserve"> perceptions of course difficulty, </w:t>
      </w:r>
      <w:r w:rsidR="0087784E" w:rsidRPr="0013703E">
        <w:rPr>
          <w:sz w:val="24"/>
          <w:szCs w:val="24"/>
        </w:rPr>
        <w:t xml:space="preserve">and </w:t>
      </w:r>
      <w:r w:rsidR="00CC2DBE" w:rsidRPr="0013703E">
        <w:rPr>
          <w:sz w:val="24"/>
          <w:szCs w:val="24"/>
        </w:rPr>
        <w:t>perception</w:t>
      </w:r>
      <w:r w:rsidR="00554907" w:rsidRPr="0013703E">
        <w:rPr>
          <w:sz w:val="24"/>
          <w:szCs w:val="24"/>
        </w:rPr>
        <w:t>s</w:t>
      </w:r>
      <w:r w:rsidR="00CC2DBE" w:rsidRPr="0013703E">
        <w:rPr>
          <w:sz w:val="24"/>
          <w:szCs w:val="24"/>
        </w:rPr>
        <w:t xml:space="preserve"> of teach</w:t>
      </w:r>
      <w:r w:rsidR="00A82AD7" w:rsidRPr="0013703E">
        <w:rPr>
          <w:sz w:val="24"/>
          <w:szCs w:val="24"/>
        </w:rPr>
        <w:t>ing</w:t>
      </w:r>
      <w:r w:rsidR="00CC2DBE" w:rsidRPr="0013703E">
        <w:rPr>
          <w:sz w:val="24"/>
          <w:szCs w:val="24"/>
        </w:rPr>
        <w:t xml:space="preserve"> effectiveness, impact the effort expended by students, as well as students’ course learning.</w:t>
      </w:r>
      <w:r w:rsidR="00421A57" w:rsidRPr="0013703E">
        <w:rPr>
          <w:sz w:val="24"/>
          <w:szCs w:val="24"/>
        </w:rPr>
        <w:t xml:space="preserve"> Based on these results, the author provides suggestions on how </w:t>
      </w:r>
      <w:r w:rsidR="008D24E7" w:rsidRPr="0013703E">
        <w:rPr>
          <w:sz w:val="24"/>
          <w:szCs w:val="24"/>
        </w:rPr>
        <w:t>faculty might</w:t>
      </w:r>
      <w:r w:rsidR="00137483" w:rsidRPr="0013703E">
        <w:rPr>
          <w:sz w:val="24"/>
          <w:szCs w:val="24"/>
        </w:rPr>
        <w:t xml:space="preserve"> </w:t>
      </w:r>
      <w:r w:rsidR="005979D3" w:rsidRPr="0013703E">
        <w:rPr>
          <w:sz w:val="24"/>
          <w:szCs w:val="24"/>
        </w:rPr>
        <w:t>combine</w:t>
      </w:r>
      <w:r w:rsidR="00D5333E" w:rsidRPr="0013703E">
        <w:rPr>
          <w:sz w:val="24"/>
          <w:szCs w:val="24"/>
        </w:rPr>
        <w:t xml:space="preserve"> knowledge o</w:t>
      </w:r>
      <w:r w:rsidR="00885138" w:rsidRPr="0013703E">
        <w:rPr>
          <w:sz w:val="24"/>
          <w:szCs w:val="24"/>
        </w:rPr>
        <w:t xml:space="preserve">f student preparation </w:t>
      </w:r>
      <w:r w:rsidR="00A20F70" w:rsidRPr="0013703E">
        <w:rPr>
          <w:sz w:val="24"/>
          <w:szCs w:val="24"/>
        </w:rPr>
        <w:t xml:space="preserve">with </w:t>
      </w:r>
      <w:r w:rsidR="009F7B0D" w:rsidRPr="0013703E">
        <w:rPr>
          <w:sz w:val="24"/>
          <w:szCs w:val="24"/>
        </w:rPr>
        <w:t>effective teaching practices</w:t>
      </w:r>
      <w:r w:rsidR="00A20F70" w:rsidRPr="0013703E">
        <w:rPr>
          <w:sz w:val="24"/>
          <w:szCs w:val="24"/>
        </w:rPr>
        <w:t xml:space="preserve"> to</w:t>
      </w:r>
      <w:r w:rsidR="00E60D1D" w:rsidRPr="0013703E">
        <w:rPr>
          <w:sz w:val="24"/>
          <w:szCs w:val="24"/>
        </w:rPr>
        <w:t xml:space="preserve"> </w:t>
      </w:r>
      <w:r w:rsidR="00003387" w:rsidRPr="0013703E">
        <w:rPr>
          <w:sz w:val="24"/>
          <w:szCs w:val="24"/>
        </w:rPr>
        <w:t>encourage</w:t>
      </w:r>
      <w:r w:rsidR="00C93511" w:rsidRPr="0013703E">
        <w:rPr>
          <w:sz w:val="24"/>
          <w:szCs w:val="24"/>
        </w:rPr>
        <w:t xml:space="preserve"> high</w:t>
      </w:r>
      <w:r w:rsidR="00D00348" w:rsidRPr="0013703E">
        <w:rPr>
          <w:sz w:val="24"/>
          <w:szCs w:val="24"/>
        </w:rPr>
        <w:t xml:space="preserve"> student effort</w:t>
      </w:r>
      <w:r w:rsidR="00843BF3" w:rsidRPr="0013703E">
        <w:rPr>
          <w:sz w:val="24"/>
          <w:szCs w:val="24"/>
        </w:rPr>
        <w:t xml:space="preserve"> and</w:t>
      </w:r>
      <w:r w:rsidR="00D27D09" w:rsidRPr="0013703E">
        <w:rPr>
          <w:sz w:val="24"/>
          <w:szCs w:val="24"/>
        </w:rPr>
        <w:t xml:space="preserve"> associated positive outcomes.</w:t>
      </w:r>
    </w:p>
    <w:p w14:paraId="090A2C68" w14:textId="77777777" w:rsidR="005E3E46" w:rsidRPr="0013703E" w:rsidRDefault="005E3E46" w:rsidP="005E3E46">
      <w:pPr>
        <w:widowControl/>
        <w:rPr>
          <w:sz w:val="24"/>
          <w:szCs w:val="24"/>
        </w:rPr>
      </w:pPr>
    </w:p>
    <w:p w14:paraId="62D67481" w14:textId="77777777" w:rsidR="005E3E46" w:rsidRPr="0013703E" w:rsidRDefault="005E3E46" w:rsidP="005E3E46">
      <w:pPr>
        <w:widowControl/>
        <w:rPr>
          <w:sz w:val="24"/>
          <w:szCs w:val="24"/>
        </w:rPr>
      </w:pPr>
      <w:r w:rsidRPr="0013703E">
        <w:rPr>
          <w:sz w:val="24"/>
          <w:szCs w:val="24"/>
        </w:rPr>
        <w:t>Select Bibliography:</w:t>
      </w:r>
    </w:p>
    <w:p w14:paraId="58405CF7" w14:textId="77777777" w:rsidR="005E3E46" w:rsidRPr="0013703E" w:rsidRDefault="005E3E46" w:rsidP="005E3E46">
      <w:pPr>
        <w:widowControl/>
        <w:rPr>
          <w:sz w:val="24"/>
          <w:szCs w:val="24"/>
        </w:rPr>
      </w:pPr>
    </w:p>
    <w:p w14:paraId="383B6358" w14:textId="5F4C83F1" w:rsidR="005E3E46" w:rsidRPr="0013703E" w:rsidRDefault="005E3E46" w:rsidP="0013703E">
      <w:pPr>
        <w:widowControl/>
        <w:rPr>
          <w:rFonts w:eastAsia="Calibri"/>
          <w:sz w:val="24"/>
          <w:szCs w:val="24"/>
        </w:rPr>
      </w:pPr>
      <w:proofErr w:type="spellStart"/>
      <w:r w:rsidRPr="0013703E">
        <w:rPr>
          <w:rFonts w:eastAsia="Calibri"/>
          <w:sz w:val="24"/>
          <w:szCs w:val="24"/>
        </w:rPr>
        <w:t>Astin</w:t>
      </w:r>
      <w:proofErr w:type="spellEnd"/>
      <w:r w:rsidRPr="0013703E">
        <w:rPr>
          <w:rFonts w:eastAsia="Calibri"/>
          <w:sz w:val="24"/>
          <w:szCs w:val="24"/>
        </w:rPr>
        <w:t>, A. (1993). Assessment for excellence: The philosophy and practice of assessment and evaluation in higher education. Phoenix: The Oryx Press</w:t>
      </w:r>
      <w:r w:rsidR="00AF1BF6" w:rsidRPr="0013703E">
        <w:rPr>
          <w:rFonts w:eastAsia="Calibri"/>
          <w:sz w:val="24"/>
          <w:szCs w:val="24"/>
        </w:rPr>
        <w:t>.</w:t>
      </w:r>
    </w:p>
    <w:p w14:paraId="595F0B39" w14:textId="77777777" w:rsidR="005E3E46" w:rsidRPr="0013703E" w:rsidRDefault="005E3E46" w:rsidP="0013703E">
      <w:pPr>
        <w:widowControl/>
        <w:rPr>
          <w:rFonts w:eastAsia="Calibri"/>
          <w:sz w:val="24"/>
          <w:szCs w:val="24"/>
        </w:rPr>
      </w:pPr>
    </w:p>
    <w:p w14:paraId="76B683D3" w14:textId="77777777" w:rsidR="005E3E46" w:rsidRPr="0013703E" w:rsidRDefault="005E3E46" w:rsidP="0013703E">
      <w:pPr>
        <w:widowControl/>
        <w:rPr>
          <w:sz w:val="24"/>
          <w:szCs w:val="24"/>
        </w:rPr>
      </w:pPr>
      <w:r w:rsidRPr="0013703E">
        <w:rPr>
          <w:sz w:val="24"/>
          <w:szCs w:val="24"/>
        </w:rPr>
        <w:t xml:space="preserve">Delany, J., Johnson, A., Johnson, T., &amp; </w:t>
      </w:r>
      <w:proofErr w:type="spellStart"/>
      <w:r w:rsidRPr="0013703E">
        <w:rPr>
          <w:sz w:val="24"/>
          <w:szCs w:val="24"/>
        </w:rPr>
        <w:t>Treslan</w:t>
      </w:r>
      <w:proofErr w:type="spellEnd"/>
      <w:r w:rsidRPr="0013703E">
        <w:rPr>
          <w:sz w:val="24"/>
          <w:szCs w:val="24"/>
        </w:rPr>
        <w:t xml:space="preserve">, D. (2010). </w:t>
      </w:r>
      <w:r w:rsidRPr="0013703E">
        <w:rPr>
          <w:i/>
          <w:sz w:val="24"/>
          <w:szCs w:val="24"/>
        </w:rPr>
        <w:t xml:space="preserve">Students’ perception of effective teaching in higher education. </w:t>
      </w:r>
      <w:r w:rsidRPr="0013703E">
        <w:rPr>
          <w:sz w:val="24"/>
          <w:szCs w:val="24"/>
        </w:rPr>
        <w:t xml:space="preserve">26th Annual Conference on Distance Teaching &amp; Learning. University of Wisconsin-Madison, August 3-6. Retrieved from </w:t>
      </w:r>
      <w:hyperlink r:id="rId8" w:history="1">
        <w:r w:rsidRPr="0013703E">
          <w:rPr>
            <w:color w:val="0563C1"/>
            <w:sz w:val="24"/>
            <w:szCs w:val="24"/>
            <w:u w:val="single"/>
          </w:rPr>
          <w:t>http://www.uwex.edu/disted/conference/resource_library/handouts/28251_10h.pdf</w:t>
        </w:r>
      </w:hyperlink>
    </w:p>
    <w:p w14:paraId="52EC30FC" w14:textId="77777777" w:rsidR="005E3E46" w:rsidRPr="0013703E" w:rsidRDefault="005E3E46" w:rsidP="0013703E">
      <w:pPr>
        <w:widowControl/>
        <w:rPr>
          <w:sz w:val="24"/>
          <w:szCs w:val="24"/>
        </w:rPr>
      </w:pPr>
    </w:p>
    <w:p w14:paraId="2832D507" w14:textId="156E8B65" w:rsidR="00C92F7F" w:rsidRPr="0013703E" w:rsidRDefault="00C92F7F" w:rsidP="0013703E">
      <w:pPr>
        <w:widowControl/>
        <w:rPr>
          <w:sz w:val="24"/>
          <w:szCs w:val="24"/>
        </w:rPr>
      </w:pPr>
      <w:r w:rsidRPr="00C92F7F">
        <w:rPr>
          <w:sz w:val="24"/>
          <w:szCs w:val="24"/>
        </w:rPr>
        <w:t xml:space="preserve">Gupta, K. &amp; </w:t>
      </w:r>
      <w:proofErr w:type="spellStart"/>
      <w:r w:rsidRPr="00C92F7F">
        <w:rPr>
          <w:sz w:val="24"/>
          <w:szCs w:val="24"/>
        </w:rPr>
        <w:t>Maksy</w:t>
      </w:r>
      <w:proofErr w:type="spellEnd"/>
      <w:r w:rsidRPr="00C92F7F">
        <w:rPr>
          <w:sz w:val="24"/>
          <w:szCs w:val="24"/>
        </w:rPr>
        <w:t xml:space="preserve">, M. (2014) Factors associated with student performance in an investments course: An empirical study. </w:t>
      </w:r>
      <w:r w:rsidRPr="00C92F7F">
        <w:rPr>
          <w:i/>
          <w:iCs/>
          <w:sz w:val="24"/>
          <w:szCs w:val="24"/>
        </w:rPr>
        <w:t>Journal of Finance and Accountancy</w:t>
      </w:r>
      <w:r w:rsidRPr="00C92F7F">
        <w:rPr>
          <w:sz w:val="24"/>
          <w:szCs w:val="24"/>
        </w:rPr>
        <w:t>, 16, 1-31</w:t>
      </w:r>
      <w:r w:rsidR="00AF1BF6" w:rsidRPr="0013703E">
        <w:rPr>
          <w:sz w:val="24"/>
          <w:szCs w:val="24"/>
        </w:rPr>
        <w:t>.</w:t>
      </w:r>
    </w:p>
    <w:p w14:paraId="1981B7A8" w14:textId="77777777" w:rsidR="00C92F7F" w:rsidRPr="00C92F7F" w:rsidRDefault="00C92F7F" w:rsidP="0013703E">
      <w:pPr>
        <w:widowControl/>
        <w:rPr>
          <w:sz w:val="24"/>
          <w:szCs w:val="24"/>
        </w:rPr>
      </w:pPr>
    </w:p>
    <w:p w14:paraId="3541F7A5" w14:textId="14930A87" w:rsidR="008F6626" w:rsidRPr="0013703E" w:rsidRDefault="00C92F7F" w:rsidP="0013703E">
      <w:pPr>
        <w:widowControl/>
        <w:rPr>
          <w:sz w:val="24"/>
          <w:szCs w:val="24"/>
        </w:rPr>
      </w:pPr>
      <w:r w:rsidRPr="0013703E">
        <w:rPr>
          <w:sz w:val="24"/>
          <w:szCs w:val="24"/>
        </w:rPr>
        <w:t xml:space="preserve">Kelly, S. (2008). What </w:t>
      </w:r>
      <w:r w:rsidR="002426EC" w:rsidRPr="0013703E">
        <w:rPr>
          <w:sz w:val="24"/>
          <w:szCs w:val="24"/>
        </w:rPr>
        <w:t>t</w:t>
      </w:r>
      <w:r w:rsidRPr="0013703E">
        <w:rPr>
          <w:sz w:val="24"/>
          <w:szCs w:val="24"/>
        </w:rPr>
        <w:t xml:space="preserve">ypes of </w:t>
      </w:r>
      <w:r w:rsidR="002426EC" w:rsidRPr="0013703E">
        <w:rPr>
          <w:sz w:val="24"/>
          <w:szCs w:val="24"/>
        </w:rPr>
        <w:t>s</w:t>
      </w:r>
      <w:r w:rsidRPr="0013703E">
        <w:rPr>
          <w:sz w:val="24"/>
          <w:szCs w:val="24"/>
        </w:rPr>
        <w:t xml:space="preserve">tudents’ </w:t>
      </w:r>
      <w:r w:rsidR="002426EC" w:rsidRPr="0013703E">
        <w:rPr>
          <w:sz w:val="24"/>
          <w:szCs w:val="24"/>
        </w:rPr>
        <w:t>e</w:t>
      </w:r>
      <w:r w:rsidRPr="0013703E">
        <w:rPr>
          <w:sz w:val="24"/>
          <w:szCs w:val="24"/>
        </w:rPr>
        <w:t xml:space="preserve">ffort </w:t>
      </w:r>
      <w:r w:rsidR="002426EC" w:rsidRPr="0013703E">
        <w:rPr>
          <w:sz w:val="24"/>
          <w:szCs w:val="24"/>
        </w:rPr>
        <w:t>a</w:t>
      </w:r>
      <w:r w:rsidRPr="0013703E">
        <w:rPr>
          <w:sz w:val="24"/>
          <w:szCs w:val="24"/>
        </w:rPr>
        <w:t xml:space="preserve">re </w:t>
      </w:r>
      <w:r w:rsidR="002426EC" w:rsidRPr="0013703E">
        <w:rPr>
          <w:sz w:val="24"/>
          <w:szCs w:val="24"/>
        </w:rPr>
        <w:t>r</w:t>
      </w:r>
      <w:r w:rsidRPr="0013703E">
        <w:rPr>
          <w:sz w:val="24"/>
          <w:szCs w:val="24"/>
        </w:rPr>
        <w:t xml:space="preserve">ewarded with </w:t>
      </w:r>
      <w:r w:rsidR="002426EC" w:rsidRPr="0013703E">
        <w:rPr>
          <w:sz w:val="24"/>
          <w:szCs w:val="24"/>
        </w:rPr>
        <w:t>h</w:t>
      </w:r>
      <w:r w:rsidRPr="0013703E">
        <w:rPr>
          <w:sz w:val="24"/>
          <w:szCs w:val="24"/>
        </w:rPr>
        <w:t xml:space="preserve">igh </w:t>
      </w:r>
      <w:r w:rsidR="002426EC" w:rsidRPr="0013703E">
        <w:rPr>
          <w:sz w:val="24"/>
          <w:szCs w:val="24"/>
        </w:rPr>
        <w:t>m</w:t>
      </w:r>
      <w:r w:rsidRPr="0013703E">
        <w:rPr>
          <w:sz w:val="24"/>
          <w:szCs w:val="24"/>
        </w:rPr>
        <w:t>arks? </w:t>
      </w:r>
      <w:r w:rsidRPr="0013703E">
        <w:rPr>
          <w:i/>
          <w:iCs/>
          <w:sz w:val="24"/>
          <w:szCs w:val="24"/>
        </w:rPr>
        <w:t>Sociology of Education</w:t>
      </w:r>
      <w:r w:rsidRPr="0013703E">
        <w:rPr>
          <w:sz w:val="24"/>
          <w:szCs w:val="24"/>
        </w:rPr>
        <w:t>, 81(1), 32–52. </w:t>
      </w:r>
      <w:hyperlink r:id="rId9" w:history="1">
        <w:r w:rsidRPr="0013703E">
          <w:rPr>
            <w:rStyle w:val="Hyperlink"/>
            <w:sz w:val="24"/>
            <w:szCs w:val="24"/>
          </w:rPr>
          <w:t>https://doi.org/10.1177/003804070808100102</w:t>
        </w:r>
      </w:hyperlink>
    </w:p>
    <w:p w14:paraId="6A5B844D" w14:textId="77777777" w:rsidR="00C92F7F" w:rsidRPr="0013703E" w:rsidRDefault="00C92F7F" w:rsidP="0013703E">
      <w:pPr>
        <w:widowControl/>
        <w:rPr>
          <w:sz w:val="24"/>
          <w:szCs w:val="24"/>
        </w:rPr>
      </w:pPr>
    </w:p>
    <w:p w14:paraId="3C64EEDC" w14:textId="2FEE2D4C" w:rsidR="00FE35AA" w:rsidRPr="0013703E" w:rsidRDefault="008F6626" w:rsidP="0013703E">
      <w:pPr>
        <w:widowControl/>
        <w:spacing w:after="200"/>
        <w:rPr>
          <w:rFonts w:eastAsia="Calibri"/>
          <w:sz w:val="24"/>
          <w:szCs w:val="24"/>
        </w:rPr>
      </w:pPr>
      <w:proofErr w:type="spellStart"/>
      <w:r w:rsidRPr="0013703E">
        <w:rPr>
          <w:rFonts w:eastAsia="Calibri"/>
          <w:sz w:val="24"/>
          <w:szCs w:val="24"/>
        </w:rPr>
        <w:t>Kuh</w:t>
      </w:r>
      <w:proofErr w:type="spellEnd"/>
      <w:r w:rsidRPr="0013703E">
        <w:rPr>
          <w:rFonts w:eastAsia="Calibri"/>
          <w:sz w:val="24"/>
          <w:szCs w:val="24"/>
        </w:rPr>
        <w:t xml:space="preserve">, G.D., J. Kinzie, J.A. Buckley, B.K. Bridges, and J.C. Hayek. </w:t>
      </w:r>
      <w:r w:rsidR="0096614D" w:rsidRPr="0013703E">
        <w:rPr>
          <w:rFonts w:eastAsia="Calibri"/>
          <w:sz w:val="24"/>
          <w:szCs w:val="24"/>
        </w:rPr>
        <w:t xml:space="preserve">(2006). </w:t>
      </w:r>
      <w:r w:rsidRPr="0013703E">
        <w:rPr>
          <w:rFonts w:eastAsia="Calibri"/>
          <w:sz w:val="24"/>
          <w:szCs w:val="24"/>
        </w:rPr>
        <w:t xml:space="preserve">What </w:t>
      </w:r>
      <w:r w:rsidR="00AF1BF6" w:rsidRPr="0013703E">
        <w:rPr>
          <w:rFonts w:eastAsia="Calibri"/>
          <w:sz w:val="24"/>
          <w:szCs w:val="24"/>
        </w:rPr>
        <w:t>m</w:t>
      </w:r>
      <w:r w:rsidRPr="0013703E">
        <w:rPr>
          <w:rFonts w:eastAsia="Calibri"/>
          <w:sz w:val="24"/>
          <w:szCs w:val="24"/>
        </w:rPr>
        <w:t xml:space="preserve">atters to </w:t>
      </w:r>
      <w:r w:rsidR="00AF1BF6" w:rsidRPr="0013703E">
        <w:rPr>
          <w:rFonts w:eastAsia="Calibri"/>
          <w:sz w:val="24"/>
          <w:szCs w:val="24"/>
        </w:rPr>
        <w:t>s</w:t>
      </w:r>
      <w:r w:rsidRPr="0013703E">
        <w:rPr>
          <w:rFonts w:eastAsia="Calibri"/>
          <w:sz w:val="24"/>
          <w:szCs w:val="24"/>
        </w:rPr>
        <w:t xml:space="preserve">tudent </w:t>
      </w:r>
      <w:r w:rsidR="00AF1BF6" w:rsidRPr="0013703E">
        <w:rPr>
          <w:rFonts w:eastAsia="Calibri"/>
          <w:sz w:val="24"/>
          <w:szCs w:val="24"/>
        </w:rPr>
        <w:t>s</w:t>
      </w:r>
      <w:r w:rsidRPr="0013703E">
        <w:rPr>
          <w:rFonts w:eastAsia="Calibri"/>
          <w:sz w:val="24"/>
          <w:szCs w:val="24"/>
        </w:rPr>
        <w:t xml:space="preserve">uccess: A </w:t>
      </w:r>
      <w:r w:rsidR="00AF1BF6" w:rsidRPr="0013703E">
        <w:rPr>
          <w:rFonts w:eastAsia="Calibri"/>
          <w:sz w:val="24"/>
          <w:szCs w:val="24"/>
        </w:rPr>
        <w:t>r</w:t>
      </w:r>
      <w:r w:rsidRPr="0013703E">
        <w:rPr>
          <w:rFonts w:eastAsia="Calibri"/>
          <w:sz w:val="24"/>
          <w:szCs w:val="24"/>
        </w:rPr>
        <w:t xml:space="preserve">eview of the </w:t>
      </w:r>
      <w:r w:rsidR="00AF1BF6" w:rsidRPr="0013703E">
        <w:rPr>
          <w:rFonts w:eastAsia="Calibri"/>
          <w:sz w:val="24"/>
          <w:szCs w:val="24"/>
        </w:rPr>
        <w:t>l</w:t>
      </w:r>
      <w:r w:rsidRPr="0013703E">
        <w:rPr>
          <w:rFonts w:eastAsia="Calibri"/>
          <w:sz w:val="24"/>
          <w:szCs w:val="24"/>
        </w:rPr>
        <w:t>iterature</w:t>
      </w:r>
      <w:r w:rsidR="005C6B4F" w:rsidRPr="0013703E">
        <w:rPr>
          <w:rFonts w:eastAsia="Calibri"/>
          <w:sz w:val="24"/>
          <w:szCs w:val="24"/>
        </w:rPr>
        <w:t xml:space="preserve">. </w:t>
      </w:r>
      <w:r w:rsidRPr="0013703E">
        <w:rPr>
          <w:rFonts w:eastAsia="Calibri"/>
          <w:sz w:val="24"/>
          <w:szCs w:val="24"/>
        </w:rPr>
        <w:t>Washington, DC</w:t>
      </w:r>
      <w:r w:rsidR="005C6B4F" w:rsidRPr="0013703E">
        <w:rPr>
          <w:rFonts w:eastAsia="Calibri"/>
          <w:sz w:val="24"/>
          <w:szCs w:val="24"/>
        </w:rPr>
        <w:t xml:space="preserve">: </w:t>
      </w:r>
      <w:r w:rsidRPr="0013703E">
        <w:rPr>
          <w:rFonts w:eastAsia="Calibri"/>
          <w:sz w:val="24"/>
          <w:szCs w:val="24"/>
        </w:rPr>
        <w:t>National Postsecondary Education Cooperative.</w:t>
      </w:r>
    </w:p>
    <w:p w14:paraId="45CA706C" w14:textId="09958BE9" w:rsidR="00C565D1" w:rsidRPr="0013703E" w:rsidRDefault="00640AF5" w:rsidP="0013703E">
      <w:pPr>
        <w:widowControl/>
        <w:spacing w:after="200"/>
        <w:rPr>
          <w:rFonts w:eastAsiaTheme="minorHAnsi"/>
          <w:sz w:val="24"/>
          <w:szCs w:val="24"/>
        </w:rPr>
      </w:pPr>
      <w:r w:rsidRPr="0013703E">
        <w:rPr>
          <w:rFonts w:eastAsiaTheme="minorHAnsi"/>
          <w:sz w:val="24"/>
          <w:szCs w:val="24"/>
        </w:rPr>
        <w:lastRenderedPageBreak/>
        <w:t xml:space="preserve">Noel-Levitz Ruffalo. </w:t>
      </w:r>
      <w:r w:rsidR="0013703E" w:rsidRPr="0013703E">
        <w:rPr>
          <w:rFonts w:eastAsiaTheme="minorHAnsi"/>
          <w:sz w:val="24"/>
          <w:szCs w:val="24"/>
        </w:rPr>
        <w:t>(</w:t>
      </w:r>
      <w:r w:rsidRPr="0013703E">
        <w:rPr>
          <w:rFonts w:eastAsiaTheme="minorHAnsi"/>
          <w:sz w:val="24"/>
          <w:szCs w:val="24"/>
        </w:rPr>
        <w:t>2017</w:t>
      </w:r>
      <w:r w:rsidR="0013703E" w:rsidRPr="0013703E">
        <w:rPr>
          <w:rFonts w:eastAsiaTheme="minorHAnsi"/>
          <w:sz w:val="24"/>
          <w:szCs w:val="24"/>
        </w:rPr>
        <w:t>)</w:t>
      </w:r>
      <w:r w:rsidRPr="0013703E">
        <w:rPr>
          <w:rFonts w:eastAsiaTheme="minorHAnsi"/>
          <w:sz w:val="24"/>
          <w:szCs w:val="24"/>
        </w:rPr>
        <w:t xml:space="preserve">. Satisfaction and </w:t>
      </w:r>
      <w:r w:rsidR="0013703E" w:rsidRPr="0013703E">
        <w:rPr>
          <w:rFonts w:eastAsiaTheme="minorHAnsi"/>
          <w:sz w:val="24"/>
          <w:szCs w:val="24"/>
        </w:rPr>
        <w:t>p</w:t>
      </w:r>
      <w:r w:rsidRPr="0013703E">
        <w:rPr>
          <w:rFonts w:eastAsiaTheme="minorHAnsi"/>
          <w:sz w:val="24"/>
          <w:szCs w:val="24"/>
        </w:rPr>
        <w:t xml:space="preserve">riorities </w:t>
      </w:r>
      <w:r w:rsidR="0013703E" w:rsidRPr="0013703E">
        <w:rPr>
          <w:rFonts w:eastAsiaTheme="minorHAnsi"/>
          <w:sz w:val="24"/>
          <w:szCs w:val="24"/>
        </w:rPr>
        <w:t>s</w:t>
      </w:r>
      <w:r w:rsidRPr="0013703E">
        <w:rPr>
          <w:rFonts w:eastAsiaTheme="minorHAnsi"/>
          <w:sz w:val="24"/>
          <w:szCs w:val="24"/>
        </w:rPr>
        <w:t xml:space="preserve">urveys </w:t>
      </w:r>
      <w:r w:rsidR="0013703E" w:rsidRPr="0013703E">
        <w:rPr>
          <w:rFonts w:eastAsiaTheme="minorHAnsi"/>
          <w:sz w:val="24"/>
          <w:szCs w:val="24"/>
        </w:rPr>
        <w:t>i</w:t>
      </w:r>
      <w:r w:rsidRPr="0013703E">
        <w:rPr>
          <w:rFonts w:eastAsiaTheme="minorHAnsi"/>
          <w:sz w:val="24"/>
          <w:szCs w:val="24"/>
        </w:rPr>
        <w:t xml:space="preserve">nterpretive </w:t>
      </w:r>
      <w:r w:rsidR="0013703E" w:rsidRPr="0013703E">
        <w:rPr>
          <w:rFonts w:eastAsiaTheme="minorHAnsi"/>
          <w:sz w:val="24"/>
          <w:szCs w:val="24"/>
        </w:rPr>
        <w:t>g</w:t>
      </w:r>
      <w:r w:rsidRPr="0013703E">
        <w:rPr>
          <w:rFonts w:eastAsiaTheme="minorHAnsi"/>
          <w:sz w:val="24"/>
          <w:szCs w:val="24"/>
        </w:rPr>
        <w:t xml:space="preserve">uide. Retrieved from </w:t>
      </w:r>
      <w:hyperlink r:id="rId10" w:history="1">
        <w:r w:rsidR="003843BB" w:rsidRPr="0013703E">
          <w:rPr>
            <w:rStyle w:val="Hyperlink"/>
            <w:rFonts w:eastAsiaTheme="minorHAnsi"/>
            <w:sz w:val="24"/>
            <w:szCs w:val="24"/>
          </w:rPr>
          <w:t>https://www.ruffalonl.com/upload/Student_Retention/SSI/Samples/2017/SPS%20Interpretive%20Guide.pdf</w:t>
        </w:r>
      </w:hyperlink>
      <w:r w:rsidRPr="0013703E">
        <w:rPr>
          <w:rFonts w:eastAsiaTheme="minorHAnsi"/>
          <w:sz w:val="24"/>
          <w:szCs w:val="24"/>
        </w:rPr>
        <w:t>.</w:t>
      </w:r>
    </w:p>
    <w:p w14:paraId="01E4AAC7" w14:textId="77777777" w:rsidR="003843BB" w:rsidRPr="003843BB" w:rsidRDefault="003843BB" w:rsidP="0013703E">
      <w:pPr>
        <w:widowControl/>
        <w:spacing w:after="200"/>
        <w:rPr>
          <w:sz w:val="24"/>
          <w:szCs w:val="24"/>
        </w:rPr>
      </w:pPr>
      <w:r w:rsidRPr="003843BB">
        <w:rPr>
          <w:sz w:val="24"/>
          <w:szCs w:val="24"/>
        </w:rPr>
        <w:t>Pace, C. R. (1984). Measuring the quality of college student experiences. Los Angeles: Higher Education Research Institute.</w:t>
      </w:r>
    </w:p>
    <w:p w14:paraId="3C784093" w14:textId="77777777" w:rsidR="003843BB" w:rsidRPr="003843BB" w:rsidRDefault="003843BB" w:rsidP="0013703E">
      <w:pPr>
        <w:widowControl/>
        <w:spacing w:after="200"/>
        <w:rPr>
          <w:sz w:val="24"/>
          <w:szCs w:val="24"/>
        </w:rPr>
      </w:pPr>
      <w:r w:rsidRPr="003843BB">
        <w:rPr>
          <w:sz w:val="24"/>
          <w:szCs w:val="24"/>
        </w:rPr>
        <w:t xml:space="preserve">Pascarella, E. &amp; </w:t>
      </w:r>
      <w:proofErr w:type="spellStart"/>
      <w:r w:rsidRPr="003843BB">
        <w:rPr>
          <w:sz w:val="24"/>
          <w:szCs w:val="24"/>
        </w:rPr>
        <w:t>Terenzini</w:t>
      </w:r>
      <w:proofErr w:type="spellEnd"/>
      <w:r w:rsidRPr="003843BB">
        <w:rPr>
          <w:sz w:val="24"/>
          <w:szCs w:val="24"/>
        </w:rPr>
        <w:t>, P. (2005). How college affects students, A third decade of research (Vol. 2). San Francisco: Jossey-Bass</w:t>
      </w:r>
    </w:p>
    <w:p w14:paraId="2098C703" w14:textId="6C522EA7" w:rsidR="003843BB" w:rsidRPr="0013703E" w:rsidRDefault="003843BB" w:rsidP="0013703E">
      <w:pPr>
        <w:widowControl/>
        <w:spacing w:after="200"/>
        <w:rPr>
          <w:sz w:val="24"/>
          <w:szCs w:val="24"/>
        </w:rPr>
      </w:pPr>
      <w:r w:rsidRPr="0013703E">
        <w:rPr>
          <w:sz w:val="24"/>
          <w:szCs w:val="24"/>
        </w:rPr>
        <w:t>Tinto, V. (1993). Leaving college: Rethinking the causes and cures of student attrition. Second Edition. University of Chicago Press. </w:t>
      </w:r>
    </w:p>
    <w:sectPr w:rsidR="003843BB" w:rsidRPr="001370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E46"/>
    <w:rsid w:val="00003387"/>
    <w:rsid w:val="00005380"/>
    <w:rsid w:val="00015006"/>
    <w:rsid w:val="000245B1"/>
    <w:rsid w:val="00043FFF"/>
    <w:rsid w:val="0004510B"/>
    <w:rsid w:val="00063DBD"/>
    <w:rsid w:val="000748DC"/>
    <w:rsid w:val="0008651F"/>
    <w:rsid w:val="00097129"/>
    <w:rsid w:val="000B422A"/>
    <w:rsid w:val="000D3D2E"/>
    <w:rsid w:val="000D7A58"/>
    <w:rsid w:val="001041C5"/>
    <w:rsid w:val="00112352"/>
    <w:rsid w:val="00133BB5"/>
    <w:rsid w:val="0013703E"/>
    <w:rsid w:val="00137483"/>
    <w:rsid w:val="00142AD5"/>
    <w:rsid w:val="00155632"/>
    <w:rsid w:val="00157FF7"/>
    <w:rsid w:val="001F17AA"/>
    <w:rsid w:val="00222225"/>
    <w:rsid w:val="002267C9"/>
    <w:rsid w:val="002426EC"/>
    <w:rsid w:val="00264A56"/>
    <w:rsid w:val="00271D08"/>
    <w:rsid w:val="002A6DBA"/>
    <w:rsid w:val="002E51A4"/>
    <w:rsid w:val="002E6465"/>
    <w:rsid w:val="002F55E5"/>
    <w:rsid w:val="00323ABA"/>
    <w:rsid w:val="003843BB"/>
    <w:rsid w:val="003A2395"/>
    <w:rsid w:val="003D4CDD"/>
    <w:rsid w:val="00421A57"/>
    <w:rsid w:val="00432CF6"/>
    <w:rsid w:val="00454B3B"/>
    <w:rsid w:val="00456713"/>
    <w:rsid w:val="00470DB7"/>
    <w:rsid w:val="00492578"/>
    <w:rsid w:val="00495AD5"/>
    <w:rsid w:val="00495E04"/>
    <w:rsid w:val="004A1B94"/>
    <w:rsid w:val="004B4923"/>
    <w:rsid w:val="004F7FDC"/>
    <w:rsid w:val="00510877"/>
    <w:rsid w:val="00524901"/>
    <w:rsid w:val="0055131B"/>
    <w:rsid w:val="00554907"/>
    <w:rsid w:val="00563D2D"/>
    <w:rsid w:val="005979D3"/>
    <w:rsid w:val="005C6B4F"/>
    <w:rsid w:val="005E282B"/>
    <w:rsid w:val="005E3E46"/>
    <w:rsid w:val="005E4C6B"/>
    <w:rsid w:val="006009D6"/>
    <w:rsid w:val="00610078"/>
    <w:rsid w:val="00636354"/>
    <w:rsid w:val="00640AF5"/>
    <w:rsid w:val="0066177F"/>
    <w:rsid w:val="006B1265"/>
    <w:rsid w:val="00747CD5"/>
    <w:rsid w:val="007773E1"/>
    <w:rsid w:val="007B6DE3"/>
    <w:rsid w:val="007D6219"/>
    <w:rsid w:val="0082580A"/>
    <w:rsid w:val="00843BF3"/>
    <w:rsid w:val="0087784E"/>
    <w:rsid w:val="00885138"/>
    <w:rsid w:val="0089126A"/>
    <w:rsid w:val="008D24E7"/>
    <w:rsid w:val="008E1236"/>
    <w:rsid w:val="008E2A83"/>
    <w:rsid w:val="008F6626"/>
    <w:rsid w:val="0096614D"/>
    <w:rsid w:val="009E5817"/>
    <w:rsid w:val="009F7B0D"/>
    <w:rsid w:val="00A01832"/>
    <w:rsid w:val="00A20F70"/>
    <w:rsid w:val="00A82AD7"/>
    <w:rsid w:val="00A869AA"/>
    <w:rsid w:val="00A90201"/>
    <w:rsid w:val="00AC1ED5"/>
    <w:rsid w:val="00AE4952"/>
    <w:rsid w:val="00AF1BF6"/>
    <w:rsid w:val="00B10EA5"/>
    <w:rsid w:val="00B23F7A"/>
    <w:rsid w:val="00B56418"/>
    <w:rsid w:val="00B56774"/>
    <w:rsid w:val="00B9015B"/>
    <w:rsid w:val="00B902A8"/>
    <w:rsid w:val="00BC273B"/>
    <w:rsid w:val="00C05693"/>
    <w:rsid w:val="00C145BE"/>
    <w:rsid w:val="00C27FF3"/>
    <w:rsid w:val="00C565D1"/>
    <w:rsid w:val="00C67D51"/>
    <w:rsid w:val="00C92F7F"/>
    <w:rsid w:val="00C93511"/>
    <w:rsid w:val="00CB22BC"/>
    <w:rsid w:val="00CB2AE7"/>
    <w:rsid w:val="00CC2DBE"/>
    <w:rsid w:val="00CE67CB"/>
    <w:rsid w:val="00D00348"/>
    <w:rsid w:val="00D27D09"/>
    <w:rsid w:val="00D34151"/>
    <w:rsid w:val="00D429D1"/>
    <w:rsid w:val="00D5333E"/>
    <w:rsid w:val="00DB03CC"/>
    <w:rsid w:val="00DB043D"/>
    <w:rsid w:val="00DF5FF1"/>
    <w:rsid w:val="00E02532"/>
    <w:rsid w:val="00E51872"/>
    <w:rsid w:val="00E60D1D"/>
    <w:rsid w:val="00E922C0"/>
    <w:rsid w:val="00E97948"/>
    <w:rsid w:val="00EB648B"/>
    <w:rsid w:val="00ED5FE6"/>
    <w:rsid w:val="00F4287A"/>
    <w:rsid w:val="00F91786"/>
    <w:rsid w:val="00FB5106"/>
    <w:rsid w:val="00FC578E"/>
    <w:rsid w:val="00FE2C10"/>
    <w:rsid w:val="00FE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D8259"/>
  <w15:chartTrackingRefBased/>
  <w15:docId w15:val="{81C9EB41-9CE2-41C2-9BE8-87FFB60CD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E3E46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1A57"/>
    <w:pPr>
      <w:widowControl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F7F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7FD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90201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9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wex.edu/disted/conference/resource_library/handouts/28251_10h.pdf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Joann.Fredrickson@bemidjistate.edu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ruffalonl.com/upload/Student_Retention/SSI/Samples/2017/SPS%20Interpretive%20Guide.pdf" TargetMode="External"/><Relationship Id="rId4" Type="http://schemas.openxmlformats.org/officeDocument/2006/relationships/styles" Target="styles.xml"/><Relationship Id="rId9" Type="http://schemas.openxmlformats.org/officeDocument/2006/relationships/hyperlink" Target="https://doi.org/10.1177/0038040708081001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A33A703BBEA4488718C2E37E8F6B02" ma:contentTypeVersion="14" ma:contentTypeDescription="Create a new document." ma:contentTypeScope="" ma:versionID="0faf1d871b18d589b0eeb3483c24a256">
  <xsd:schema xmlns:xsd="http://www.w3.org/2001/XMLSchema" xmlns:xs="http://www.w3.org/2001/XMLSchema" xmlns:p="http://schemas.microsoft.com/office/2006/metadata/properties" xmlns:ns3="4e98f114-f9b1-4e5e-beb3-52691ba8fc2e" xmlns:ns4="eb8f8236-9a9e-4376-a204-6dfde97c5a7b" targetNamespace="http://schemas.microsoft.com/office/2006/metadata/properties" ma:root="true" ma:fieldsID="b20bdda7140cc7928aeb01b96d46e49d" ns3:_="" ns4:_="">
    <xsd:import namespace="4e98f114-f9b1-4e5e-beb3-52691ba8fc2e"/>
    <xsd:import namespace="eb8f8236-9a9e-4376-a204-6dfde97c5a7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8f114-f9b1-4e5e-beb3-52691ba8fc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f8236-9a9e-4376-a204-6dfde97c5a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E4D795-08FD-4600-AC11-D0EAF8E9B6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5C483B-8EB0-48BC-8418-244B86F71C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85B0A0-2004-4266-85FC-7DF0D80652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8f114-f9b1-4e5e-beb3-52691ba8fc2e"/>
    <ds:schemaRef ds:uri="eb8f8236-9a9e-4376-a204-6dfde97c5a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655</Words>
  <Characters>3295</Characters>
  <Application>Microsoft Office Word</Application>
  <DocSecurity>0</DocSecurity>
  <Lines>143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Fredrickson, Joann</dc:creator>
  <cp:keywords/>
  <dc:description/>
  <cp:lastModifiedBy>Fredrickson, Joann</cp:lastModifiedBy>
  <cp:revision>14</cp:revision>
  <dcterms:created xsi:type="dcterms:W3CDTF">2020-10-20T16:19:00Z</dcterms:created>
  <dcterms:modified xsi:type="dcterms:W3CDTF">2020-10-20T16:38:00Z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0x0101006AA33A703BBEA4488718C2E37E8F6B02</vt:lpwstr>
  </property>
</Properties>
</file>