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E" w:rsidRDefault="00B638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</w:rPr>
      </w:pPr>
    </w:p>
    <w:p w:rsidR="00B638DE" w:rsidRDefault="00B638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bookmarkStart w:id="0" w:name="_GoBack"/>
      <w:bookmarkEnd w:id="0"/>
    </w:p>
    <w:p w:rsidR="003A6EE0" w:rsidRDefault="003A6EE0" w:rsidP="003A6EE0">
      <w:pPr>
        <w:jc w:val="center"/>
        <w:rPr>
          <w:rFonts w:eastAsia="Calibri"/>
          <w:szCs w:val="24"/>
        </w:rPr>
      </w:pPr>
    </w:p>
    <w:p w:rsidR="0015166F" w:rsidRDefault="00757AAD" w:rsidP="003A6EE0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Assessing the Impact of</w:t>
      </w:r>
      <w:r w:rsidR="0015166F">
        <w:rPr>
          <w:rFonts w:eastAsia="Calibri"/>
          <w:szCs w:val="24"/>
        </w:rPr>
        <w:t xml:space="preserve"> Effort and </w:t>
      </w:r>
      <w:r>
        <w:rPr>
          <w:rFonts w:eastAsia="Calibri"/>
          <w:szCs w:val="24"/>
        </w:rPr>
        <w:t>Learner</w:t>
      </w:r>
      <w:r w:rsidR="00207505">
        <w:rPr>
          <w:rFonts w:eastAsia="Calibri"/>
          <w:szCs w:val="24"/>
        </w:rPr>
        <w:t xml:space="preserve">-Content Interaction on Student </w:t>
      </w:r>
      <w:r w:rsidR="0015166F">
        <w:rPr>
          <w:rFonts w:eastAsia="Calibri"/>
          <w:szCs w:val="24"/>
        </w:rPr>
        <w:t xml:space="preserve">Outcomes </w:t>
      </w:r>
    </w:p>
    <w:p w:rsidR="00207505" w:rsidRDefault="0015166F" w:rsidP="003A6EE0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for Campus and Online Students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Joann Fredrickson, PhD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Professor of Business Administration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1500 Birchmont Drive NE Box 30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Bemidji State University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Bemidji, MN 56601</w:t>
      </w:r>
    </w:p>
    <w:p w:rsidR="003A6EE0" w:rsidRPr="000A582F" w:rsidRDefault="003A6EE0" w:rsidP="003A6EE0">
      <w:pPr>
        <w:jc w:val="center"/>
        <w:rPr>
          <w:rFonts w:eastAsia="Calibri"/>
          <w:szCs w:val="24"/>
        </w:rPr>
      </w:pPr>
      <w:r w:rsidRPr="000A582F">
        <w:rPr>
          <w:rFonts w:eastAsia="Calibri"/>
          <w:szCs w:val="24"/>
        </w:rPr>
        <w:t>218-755-2755</w:t>
      </w:r>
    </w:p>
    <w:p w:rsidR="003A6EE0" w:rsidRPr="000A582F" w:rsidRDefault="00760F85" w:rsidP="003A6EE0">
      <w:pPr>
        <w:jc w:val="center"/>
        <w:rPr>
          <w:rFonts w:eastAsia="Calibri"/>
          <w:szCs w:val="24"/>
        </w:rPr>
      </w:pPr>
      <w:hyperlink r:id="rId4" w:history="1">
        <w:r w:rsidR="003A6EE0" w:rsidRPr="000A582F">
          <w:rPr>
            <w:rFonts w:eastAsia="Calibri"/>
            <w:color w:val="0000FF"/>
            <w:szCs w:val="24"/>
            <w:u w:val="single"/>
          </w:rPr>
          <w:t>jfredrickson@bemidjistate.edu</w:t>
        </w:r>
      </w:hyperlink>
    </w:p>
    <w:p w:rsidR="00060803" w:rsidRDefault="003A6EE0" w:rsidP="00E705F8">
      <w:pPr>
        <w:rPr>
          <w:szCs w:val="24"/>
        </w:rPr>
      </w:pPr>
      <w:r>
        <w:rPr>
          <w:sz w:val="20"/>
        </w:rPr>
        <w:br w:type="page"/>
      </w:r>
      <w:r w:rsidR="00E705F8" w:rsidRPr="008341B9">
        <w:rPr>
          <w:szCs w:val="24"/>
        </w:rPr>
        <w:lastRenderedPageBreak/>
        <w:t xml:space="preserve">This research examines the impact of course design and </w:t>
      </w:r>
      <w:r w:rsidR="00812B1E" w:rsidRPr="008341B9">
        <w:rPr>
          <w:szCs w:val="24"/>
        </w:rPr>
        <w:t>student effort</w:t>
      </w:r>
      <w:r w:rsidR="00E705F8" w:rsidRPr="008341B9">
        <w:rPr>
          <w:szCs w:val="24"/>
        </w:rPr>
        <w:t xml:space="preserve"> on student outcomes, specifically, the impact of student effort </w:t>
      </w:r>
      <w:r w:rsidR="00E932B6" w:rsidRPr="008341B9">
        <w:rPr>
          <w:szCs w:val="24"/>
        </w:rPr>
        <w:t xml:space="preserve">and </w:t>
      </w:r>
      <w:r w:rsidR="00BE59F3" w:rsidRPr="008341B9">
        <w:rPr>
          <w:szCs w:val="24"/>
        </w:rPr>
        <w:t xml:space="preserve">learner-content </w:t>
      </w:r>
      <w:r w:rsidR="00E969D6" w:rsidRPr="008341B9">
        <w:rPr>
          <w:szCs w:val="24"/>
        </w:rPr>
        <w:t xml:space="preserve">interaction </w:t>
      </w:r>
      <w:r w:rsidR="00BE59F3" w:rsidRPr="008341B9">
        <w:rPr>
          <w:szCs w:val="24"/>
        </w:rPr>
        <w:t xml:space="preserve">course features </w:t>
      </w:r>
      <w:r w:rsidR="00E705F8" w:rsidRPr="008341B9">
        <w:rPr>
          <w:szCs w:val="24"/>
        </w:rPr>
        <w:t xml:space="preserve">on student learning, engagement, and satisfaction, for both campus-based and online course sections of a corporate finance course.  Based on strategies to promote </w:t>
      </w:r>
      <w:r w:rsidR="00DD0746" w:rsidRPr="008341B9">
        <w:rPr>
          <w:szCs w:val="24"/>
        </w:rPr>
        <w:t>learner-content interaction</w:t>
      </w:r>
      <w:r w:rsidR="00E705F8" w:rsidRPr="008341B9">
        <w:rPr>
          <w:szCs w:val="24"/>
        </w:rPr>
        <w:t xml:space="preserve"> in a quantitative course setting, individual assignments and interactive study modules have been implemented in both the campus-based and online sections of the course. Additionally, student discussions are required in the online </w:t>
      </w:r>
      <w:r w:rsidR="00E969D6" w:rsidRPr="008341B9">
        <w:rPr>
          <w:szCs w:val="24"/>
        </w:rPr>
        <w:t xml:space="preserve">course </w:t>
      </w:r>
      <w:r w:rsidR="00E705F8" w:rsidRPr="008341B9">
        <w:rPr>
          <w:szCs w:val="24"/>
        </w:rPr>
        <w:t>section</w:t>
      </w:r>
      <w:r w:rsidR="00E969D6" w:rsidRPr="008341B9">
        <w:rPr>
          <w:szCs w:val="24"/>
        </w:rPr>
        <w:t>s</w:t>
      </w:r>
      <w:r w:rsidR="00E705F8" w:rsidRPr="008341B9">
        <w:rPr>
          <w:szCs w:val="24"/>
        </w:rPr>
        <w:t>.</w:t>
      </w:r>
      <w:r w:rsidR="00F1498D" w:rsidRPr="008341B9">
        <w:rPr>
          <w:szCs w:val="24"/>
        </w:rPr>
        <w:t xml:space="preserve"> The assignments and interactive study modules </w:t>
      </w:r>
      <w:r w:rsidR="0015166F" w:rsidRPr="008341B9">
        <w:rPr>
          <w:szCs w:val="24"/>
        </w:rPr>
        <w:t>are</w:t>
      </w:r>
      <w:r w:rsidR="00F1498D" w:rsidRPr="008341B9">
        <w:rPr>
          <w:szCs w:val="24"/>
        </w:rPr>
        <w:t xml:space="preserve"> examples of learner-content interaction course features while discussions represent learner-content interaction as well as learner-learner and learner-instructor forms of interaction.</w:t>
      </w:r>
      <w:r w:rsidR="00E705F8" w:rsidRPr="008341B9">
        <w:rPr>
          <w:szCs w:val="24"/>
        </w:rPr>
        <w:t xml:space="preserve"> </w:t>
      </w:r>
      <w:r w:rsidR="00E969D6" w:rsidRPr="008341B9">
        <w:rPr>
          <w:szCs w:val="24"/>
        </w:rPr>
        <w:t xml:space="preserve">Measures of </w:t>
      </w:r>
      <w:r w:rsidR="00F1498D" w:rsidRPr="008341B9">
        <w:rPr>
          <w:szCs w:val="24"/>
        </w:rPr>
        <w:t xml:space="preserve">student effort, learner-content interaction, </w:t>
      </w:r>
      <w:r w:rsidR="00E969D6" w:rsidRPr="008341B9">
        <w:rPr>
          <w:szCs w:val="24"/>
        </w:rPr>
        <w:t xml:space="preserve">student engagement, student satisfaction, </w:t>
      </w:r>
      <w:r w:rsidR="000E6E56" w:rsidRPr="008341B9">
        <w:rPr>
          <w:szCs w:val="24"/>
        </w:rPr>
        <w:t>as well as</w:t>
      </w:r>
      <w:r w:rsidR="00E969D6" w:rsidRPr="008341B9">
        <w:rPr>
          <w:szCs w:val="24"/>
        </w:rPr>
        <w:t xml:space="preserve"> direct and indirect measures of student learning</w:t>
      </w:r>
      <w:r w:rsidR="00060803" w:rsidRPr="008341B9">
        <w:rPr>
          <w:szCs w:val="24"/>
        </w:rPr>
        <w:t xml:space="preserve"> were collected for both online and campus-based sections. </w:t>
      </w:r>
      <w:r w:rsidR="00E969D6" w:rsidRPr="008341B9">
        <w:rPr>
          <w:szCs w:val="24"/>
        </w:rPr>
        <w:t xml:space="preserve"> The results suggest </w:t>
      </w:r>
      <w:r w:rsidR="00E705F8" w:rsidRPr="008341B9">
        <w:rPr>
          <w:szCs w:val="24"/>
        </w:rPr>
        <w:t xml:space="preserve">that </w:t>
      </w:r>
      <w:r w:rsidR="000E6E56" w:rsidRPr="008341B9">
        <w:rPr>
          <w:szCs w:val="24"/>
        </w:rPr>
        <w:t>learner-content interaction</w:t>
      </w:r>
      <w:r w:rsidR="00BE59F3" w:rsidRPr="008341B9">
        <w:rPr>
          <w:szCs w:val="24"/>
        </w:rPr>
        <w:t xml:space="preserve"> </w:t>
      </w:r>
      <w:r w:rsidR="000E6E56" w:rsidRPr="008341B9">
        <w:rPr>
          <w:szCs w:val="24"/>
        </w:rPr>
        <w:t>has</w:t>
      </w:r>
      <w:r w:rsidR="00E705F8" w:rsidRPr="008341B9">
        <w:rPr>
          <w:szCs w:val="24"/>
        </w:rPr>
        <w:t xml:space="preserve"> a positive impact on student learning, engagement, and satisfaction, while </w:t>
      </w:r>
      <w:r w:rsidR="000E6E56" w:rsidRPr="008341B9">
        <w:rPr>
          <w:szCs w:val="24"/>
        </w:rPr>
        <w:t xml:space="preserve">student effort measured as </w:t>
      </w:r>
      <w:r w:rsidR="008341B9" w:rsidRPr="008341B9">
        <w:rPr>
          <w:szCs w:val="24"/>
        </w:rPr>
        <w:t xml:space="preserve">amount of </w:t>
      </w:r>
      <w:r w:rsidR="000E6E56" w:rsidRPr="008341B9">
        <w:rPr>
          <w:szCs w:val="24"/>
        </w:rPr>
        <w:t xml:space="preserve">time </w:t>
      </w:r>
      <w:r w:rsidR="00E705F8" w:rsidRPr="008341B9">
        <w:rPr>
          <w:szCs w:val="24"/>
        </w:rPr>
        <w:t>was either negatively associated or not associated with these student outcomes.</w:t>
      </w:r>
      <w:r w:rsidR="00CC0348" w:rsidRPr="008341B9">
        <w:rPr>
          <w:szCs w:val="24"/>
        </w:rPr>
        <w:t xml:space="preserve"> Further analysis revealed an interaction effect between st</w:t>
      </w:r>
      <w:r w:rsidR="000E6E56" w:rsidRPr="008341B9">
        <w:rPr>
          <w:szCs w:val="24"/>
        </w:rPr>
        <w:t xml:space="preserve">udent effort and </w:t>
      </w:r>
      <w:r w:rsidR="008341B9" w:rsidRPr="008341B9">
        <w:rPr>
          <w:szCs w:val="24"/>
        </w:rPr>
        <w:t xml:space="preserve">performance </w:t>
      </w:r>
      <w:r w:rsidR="000E6E56" w:rsidRPr="008341B9">
        <w:rPr>
          <w:szCs w:val="24"/>
        </w:rPr>
        <w:t>expectancy on s</w:t>
      </w:r>
      <w:r w:rsidR="00CC0348" w:rsidRPr="008341B9">
        <w:rPr>
          <w:szCs w:val="24"/>
        </w:rPr>
        <w:t>tudent learning.</w:t>
      </w:r>
      <w:r w:rsidR="00060803" w:rsidRPr="008341B9">
        <w:rPr>
          <w:szCs w:val="24"/>
        </w:rPr>
        <w:t xml:space="preserve"> The differences in results between online and</w:t>
      </w:r>
      <w:r w:rsidR="0015166F" w:rsidRPr="008341B9">
        <w:rPr>
          <w:szCs w:val="24"/>
        </w:rPr>
        <w:t xml:space="preserve"> campus-based students are </w:t>
      </w:r>
      <w:r w:rsidR="00060803" w:rsidRPr="008341B9">
        <w:rPr>
          <w:szCs w:val="24"/>
        </w:rPr>
        <w:t>explored.</w:t>
      </w:r>
    </w:p>
    <w:p w:rsidR="002D699C" w:rsidRDefault="002D699C" w:rsidP="00E705F8">
      <w:pPr>
        <w:rPr>
          <w:szCs w:val="24"/>
        </w:rPr>
      </w:pPr>
    </w:p>
    <w:p w:rsidR="00D54692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>Significant research has been conducted on how college affects students (Astin</w:t>
      </w:r>
      <w:r w:rsidR="000E6E56">
        <w:rPr>
          <w:rFonts w:eastAsia="Calibri"/>
          <w:szCs w:val="24"/>
        </w:rPr>
        <w:t>,</w:t>
      </w:r>
      <w:r w:rsidRPr="000A582F">
        <w:rPr>
          <w:rFonts w:eastAsia="Calibri"/>
          <w:szCs w:val="24"/>
        </w:rPr>
        <w:t xml:space="preserve"> 1993; Pascarella &amp; Terenzini</w:t>
      </w:r>
      <w:r w:rsidR="000E6E56">
        <w:rPr>
          <w:rFonts w:eastAsia="Calibri"/>
          <w:szCs w:val="24"/>
        </w:rPr>
        <w:t>,</w:t>
      </w:r>
      <w:r w:rsidRPr="000A582F">
        <w:rPr>
          <w:rFonts w:eastAsia="Calibri"/>
          <w:szCs w:val="24"/>
        </w:rPr>
        <w:t xml:space="preserve"> 2005).  Several studies link student outcomes of learning, persistence, engagement, and satisfaction (Carnini, Kuh, &amp; Klein, 2006; Kuh, Kinzie, Buckley, Bridges &amp; Hayek, 2006; Tinto, 1993). </w:t>
      </w:r>
      <w:r w:rsidR="00B74FA9">
        <w:rPr>
          <w:rFonts w:eastAsia="Calibri"/>
          <w:szCs w:val="24"/>
        </w:rPr>
        <w:t xml:space="preserve">Research on </w:t>
      </w:r>
      <w:r w:rsidR="00561987">
        <w:rPr>
          <w:rFonts w:eastAsia="Calibri"/>
          <w:szCs w:val="24"/>
        </w:rPr>
        <w:t xml:space="preserve">what activities promote engagement </w:t>
      </w:r>
      <w:r w:rsidR="00B74FA9">
        <w:rPr>
          <w:rFonts w:eastAsia="Calibri"/>
          <w:szCs w:val="24"/>
        </w:rPr>
        <w:t>and</w:t>
      </w:r>
      <w:r w:rsidR="00561987">
        <w:rPr>
          <w:rFonts w:eastAsia="Calibri"/>
          <w:szCs w:val="24"/>
        </w:rPr>
        <w:t xml:space="preserve"> interaction </w:t>
      </w:r>
      <w:r w:rsidR="00B74FA9">
        <w:rPr>
          <w:rFonts w:eastAsia="Calibri"/>
          <w:szCs w:val="24"/>
        </w:rPr>
        <w:t>span both campus and online students</w:t>
      </w:r>
      <w:r w:rsidR="00BB6896">
        <w:rPr>
          <w:rFonts w:eastAsia="Calibri"/>
          <w:szCs w:val="24"/>
        </w:rPr>
        <w:t xml:space="preserve"> (</w:t>
      </w:r>
      <w:r w:rsidR="00DA075D">
        <w:rPr>
          <w:rFonts w:eastAsia="Calibri"/>
          <w:szCs w:val="24"/>
        </w:rPr>
        <w:t>Chickering and Ehrmann</w:t>
      </w:r>
      <w:r w:rsidR="00BB6896">
        <w:rPr>
          <w:rFonts w:eastAsia="Calibri"/>
          <w:szCs w:val="24"/>
        </w:rPr>
        <w:t>, 1996</w:t>
      </w:r>
      <w:r w:rsidR="00DA075D">
        <w:rPr>
          <w:rFonts w:eastAsia="Calibri"/>
          <w:szCs w:val="24"/>
        </w:rPr>
        <w:t>; Moore</w:t>
      </w:r>
      <w:r w:rsidR="00BB6896">
        <w:rPr>
          <w:rFonts w:eastAsia="Calibri"/>
          <w:szCs w:val="24"/>
        </w:rPr>
        <w:t>, 1989; Tinto, 1993)</w:t>
      </w:r>
      <w:r w:rsidR="00B74FA9">
        <w:rPr>
          <w:rFonts w:eastAsia="Calibri"/>
          <w:szCs w:val="24"/>
        </w:rPr>
        <w:t>.</w:t>
      </w:r>
      <w:r w:rsidR="00B74FA9" w:rsidRPr="00B74FA9">
        <w:rPr>
          <w:rFonts w:eastAsia="Calibri"/>
          <w:szCs w:val="24"/>
        </w:rPr>
        <w:t xml:space="preserve"> </w:t>
      </w:r>
      <w:r w:rsidR="00561987">
        <w:rPr>
          <w:rFonts w:eastAsia="Calibri"/>
          <w:szCs w:val="24"/>
        </w:rPr>
        <w:t xml:space="preserve">The </w:t>
      </w:r>
      <w:r w:rsidR="00705C5F">
        <w:rPr>
          <w:rFonts w:eastAsia="Calibri"/>
          <w:szCs w:val="24"/>
        </w:rPr>
        <w:t xml:space="preserve">online quality </w:t>
      </w:r>
      <w:r w:rsidR="0015166F">
        <w:rPr>
          <w:rFonts w:eastAsia="Calibri"/>
          <w:szCs w:val="24"/>
        </w:rPr>
        <w:t xml:space="preserve">assurance </w:t>
      </w:r>
      <w:r w:rsidR="00705C5F">
        <w:rPr>
          <w:rFonts w:eastAsia="Calibri"/>
          <w:szCs w:val="24"/>
        </w:rPr>
        <w:t>movement</w:t>
      </w:r>
      <w:r w:rsidR="00561987">
        <w:rPr>
          <w:rFonts w:eastAsia="Calibri"/>
          <w:szCs w:val="24"/>
        </w:rPr>
        <w:t xml:space="preserve"> has resulted in significant consideration of the types of student interactions that foster </w:t>
      </w:r>
      <w:r w:rsidR="00B74FA9">
        <w:rPr>
          <w:rFonts w:eastAsia="Calibri"/>
          <w:szCs w:val="24"/>
        </w:rPr>
        <w:t xml:space="preserve">positive </w:t>
      </w:r>
      <w:r w:rsidR="00561987">
        <w:rPr>
          <w:rFonts w:eastAsia="Calibri"/>
          <w:szCs w:val="24"/>
        </w:rPr>
        <w:t>student outcomes</w:t>
      </w:r>
      <w:r w:rsidR="000E6E56">
        <w:rPr>
          <w:rFonts w:eastAsia="Calibri"/>
          <w:szCs w:val="24"/>
        </w:rPr>
        <w:t xml:space="preserve">. </w:t>
      </w:r>
      <w:r w:rsidR="00B74FA9">
        <w:rPr>
          <w:rFonts w:eastAsia="Calibri"/>
          <w:szCs w:val="24"/>
        </w:rPr>
        <w:t>Three types of interaction have been identified</w:t>
      </w:r>
      <w:r w:rsidR="00073735">
        <w:rPr>
          <w:rFonts w:eastAsia="Calibri"/>
          <w:szCs w:val="24"/>
        </w:rPr>
        <w:t>: learner-instructor, learner-learner, and learner</w:t>
      </w:r>
      <w:r w:rsidR="00296FEE">
        <w:rPr>
          <w:rFonts w:eastAsia="Calibri"/>
          <w:szCs w:val="24"/>
        </w:rPr>
        <w:t>-co</w:t>
      </w:r>
      <w:r w:rsidR="00073735">
        <w:rPr>
          <w:rFonts w:eastAsia="Calibri"/>
          <w:szCs w:val="24"/>
        </w:rPr>
        <w:t>ntent</w:t>
      </w:r>
      <w:r w:rsidR="000E6E56">
        <w:rPr>
          <w:rFonts w:eastAsia="Calibri"/>
          <w:szCs w:val="24"/>
        </w:rPr>
        <w:t xml:space="preserve"> (Anderson, 2003; Miyazoe &amp; Anderson, 2010; Moore, 1989)</w:t>
      </w:r>
      <w:r w:rsidR="00073735">
        <w:rPr>
          <w:rFonts w:eastAsia="Calibri"/>
          <w:szCs w:val="24"/>
        </w:rPr>
        <w:t>.</w:t>
      </w:r>
      <w:r w:rsidR="00296FEE">
        <w:rPr>
          <w:rFonts w:eastAsia="Calibri"/>
          <w:szCs w:val="24"/>
        </w:rPr>
        <w:t xml:space="preserve"> </w:t>
      </w:r>
      <w:r w:rsidR="00561987">
        <w:rPr>
          <w:rFonts w:eastAsia="Calibri"/>
          <w:szCs w:val="24"/>
        </w:rPr>
        <w:t>O</w:t>
      </w:r>
      <w:r w:rsidR="00B74FA9">
        <w:rPr>
          <w:rFonts w:eastAsia="Calibri"/>
          <w:szCs w:val="24"/>
        </w:rPr>
        <w:t>f the three</w:t>
      </w:r>
      <w:r w:rsidR="00073735">
        <w:rPr>
          <w:rFonts w:eastAsia="Calibri"/>
          <w:szCs w:val="24"/>
        </w:rPr>
        <w:t>, learner</w:t>
      </w:r>
      <w:r w:rsidR="00561987">
        <w:rPr>
          <w:rFonts w:eastAsia="Calibri"/>
          <w:szCs w:val="24"/>
        </w:rPr>
        <w:t>-content interaction has been most consistently associated with student learning</w:t>
      </w:r>
      <w:r w:rsidR="00296FEE">
        <w:rPr>
          <w:rFonts w:eastAsia="Calibri"/>
          <w:szCs w:val="24"/>
        </w:rPr>
        <w:t>.</w:t>
      </w:r>
      <w:r w:rsidR="00561987">
        <w:rPr>
          <w:rFonts w:eastAsia="Calibri"/>
          <w:szCs w:val="24"/>
        </w:rPr>
        <w:t xml:space="preserve"> </w:t>
      </w:r>
      <w:r w:rsidR="00073735">
        <w:rPr>
          <w:rFonts w:eastAsia="Calibri"/>
          <w:szCs w:val="24"/>
        </w:rPr>
        <w:t>Measures of learner</w:t>
      </w:r>
      <w:r w:rsidR="00B74FA9">
        <w:rPr>
          <w:rFonts w:eastAsia="Calibri"/>
          <w:szCs w:val="24"/>
        </w:rPr>
        <w:t xml:space="preserve">-content interaction have often included amount of time with content </w:t>
      </w:r>
      <w:r w:rsidR="00B82917">
        <w:rPr>
          <w:rFonts w:eastAsia="Calibri"/>
          <w:szCs w:val="24"/>
        </w:rPr>
        <w:t>(Murray, Perez, Geist &amp; Hedrick, 2013;</w:t>
      </w:r>
      <w:r w:rsidR="00B74FA9">
        <w:rPr>
          <w:rFonts w:eastAsia="Calibri"/>
          <w:szCs w:val="24"/>
        </w:rPr>
        <w:t xml:space="preserve"> Zimmerman, 2012</w:t>
      </w:r>
      <w:r w:rsidR="00B82917">
        <w:rPr>
          <w:rFonts w:eastAsia="Calibri"/>
          <w:szCs w:val="24"/>
        </w:rPr>
        <w:t xml:space="preserve">) </w:t>
      </w:r>
      <w:r w:rsidR="008341B9">
        <w:rPr>
          <w:rFonts w:eastAsia="Calibri"/>
          <w:szCs w:val="24"/>
        </w:rPr>
        <w:t>and</w:t>
      </w:r>
      <w:r w:rsidR="00B74FA9">
        <w:rPr>
          <w:rFonts w:eastAsia="Calibri"/>
          <w:szCs w:val="24"/>
        </w:rPr>
        <w:t xml:space="preserve"> types of </w:t>
      </w:r>
      <w:r w:rsidR="00073735">
        <w:rPr>
          <w:rFonts w:eastAsia="Calibri"/>
          <w:szCs w:val="24"/>
        </w:rPr>
        <w:t>learner</w:t>
      </w:r>
      <w:r w:rsidR="00B74FA9">
        <w:rPr>
          <w:rFonts w:eastAsia="Calibri"/>
          <w:szCs w:val="24"/>
        </w:rPr>
        <w:t>-content interaction (</w:t>
      </w:r>
      <w:r w:rsidR="00296FEE">
        <w:rPr>
          <w:rFonts w:eastAsia="Calibri"/>
          <w:szCs w:val="24"/>
        </w:rPr>
        <w:t>Thurmond &amp; Wambach, 2004</w:t>
      </w:r>
      <w:r w:rsidR="00B74FA9">
        <w:rPr>
          <w:rFonts w:eastAsia="Calibri"/>
          <w:szCs w:val="24"/>
        </w:rPr>
        <w:t>)</w:t>
      </w:r>
      <w:r w:rsidR="000818B9">
        <w:rPr>
          <w:rFonts w:eastAsia="Calibri"/>
          <w:szCs w:val="24"/>
        </w:rPr>
        <w:t>.</w:t>
      </w:r>
      <w:r w:rsidR="00D54692">
        <w:rPr>
          <w:rFonts w:eastAsia="Calibri"/>
          <w:szCs w:val="24"/>
        </w:rPr>
        <w:t xml:space="preserve"> 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0818B9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Applying </w:t>
      </w:r>
      <w:r w:rsidR="00073735">
        <w:rPr>
          <w:rFonts w:eastAsia="Calibri"/>
          <w:szCs w:val="24"/>
        </w:rPr>
        <w:t xml:space="preserve">these </w:t>
      </w:r>
      <w:r w:rsidRPr="000A582F">
        <w:rPr>
          <w:rFonts w:eastAsia="Calibri"/>
          <w:szCs w:val="24"/>
        </w:rPr>
        <w:t xml:space="preserve">previous findings, hypotheses are developed that connect measures of </w:t>
      </w:r>
      <w:r w:rsidR="00EF1DAB">
        <w:rPr>
          <w:rFonts w:eastAsia="Calibri"/>
          <w:szCs w:val="24"/>
        </w:rPr>
        <w:t xml:space="preserve">student effort </w:t>
      </w:r>
      <w:r w:rsidR="00D54692">
        <w:rPr>
          <w:rFonts w:eastAsia="Calibri"/>
          <w:szCs w:val="24"/>
        </w:rPr>
        <w:t xml:space="preserve">and </w:t>
      </w:r>
      <w:r w:rsidR="008341B9" w:rsidRPr="00073735">
        <w:rPr>
          <w:rFonts w:eastAsia="Calibri"/>
          <w:szCs w:val="24"/>
        </w:rPr>
        <w:t>learner</w:t>
      </w:r>
      <w:r w:rsidR="00D54692" w:rsidRPr="00073735">
        <w:rPr>
          <w:rFonts w:eastAsia="Calibri"/>
          <w:szCs w:val="24"/>
        </w:rPr>
        <w:t xml:space="preserve">-content interaction </w:t>
      </w:r>
      <w:r w:rsidR="00EF1DAB" w:rsidRPr="00073735">
        <w:rPr>
          <w:rFonts w:eastAsia="Calibri"/>
          <w:szCs w:val="24"/>
        </w:rPr>
        <w:t xml:space="preserve">with </w:t>
      </w:r>
      <w:r w:rsidRPr="00073735">
        <w:rPr>
          <w:rFonts w:eastAsia="Calibri"/>
          <w:szCs w:val="24"/>
        </w:rPr>
        <w:t>student</w:t>
      </w:r>
      <w:r w:rsidRPr="000A582F">
        <w:rPr>
          <w:rFonts w:eastAsia="Calibri"/>
          <w:szCs w:val="24"/>
        </w:rPr>
        <w:t xml:space="preserve"> </w:t>
      </w:r>
      <w:r w:rsidR="00EF1DAB">
        <w:rPr>
          <w:rFonts w:eastAsia="Calibri"/>
          <w:szCs w:val="24"/>
        </w:rPr>
        <w:t>learning, engagement,</w:t>
      </w:r>
      <w:r w:rsidRPr="000A582F">
        <w:rPr>
          <w:rFonts w:eastAsia="Calibri"/>
          <w:szCs w:val="24"/>
        </w:rPr>
        <w:t xml:space="preserve"> and satisfaction.  Further, hypotheses are developed that </w:t>
      </w:r>
      <w:r w:rsidR="00EF1DAB">
        <w:rPr>
          <w:rFonts w:eastAsia="Calibri"/>
          <w:szCs w:val="24"/>
        </w:rPr>
        <w:t>compare connections of student effort, learning, engagement and satisfaction between online and campus-based students.</w:t>
      </w:r>
      <w:r w:rsidR="000818B9">
        <w:rPr>
          <w:rFonts w:eastAsia="Calibri"/>
          <w:szCs w:val="24"/>
        </w:rPr>
        <w:t xml:space="preserve"> Measurements of </w:t>
      </w:r>
      <w:r w:rsidR="008341B9">
        <w:rPr>
          <w:rFonts w:eastAsia="Calibri"/>
          <w:szCs w:val="24"/>
        </w:rPr>
        <w:t>learner</w:t>
      </w:r>
      <w:r w:rsidR="000818B9">
        <w:rPr>
          <w:rFonts w:eastAsia="Calibri"/>
          <w:szCs w:val="24"/>
        </w:rPr>
        <w:t>-content interaction are structured as “success with” learner-content activities, r</w:t>
      </w:r>
      <w:r w:rsidR="00E932B6">
        <w:rPr>
          <w:rFonts w:eastAsia="Calibri"/>
          <w:szCs w:val="24"/>
        </w:rPr>
        <w:t>ather than</w:t>
      </w:r>
      <w:r w:rsidR="000818B9">
        <w:rPr>
          <w:rFonts w:eastAsia="Calibri"/>
          <w:szCs w:val="24"/>
        </w:rPr>
        <w:t xml:space="preserve"> “time with” or “type of” </w:t>
      </w:r>
      <w:r w:rsidR="00073735">
        <w:rPr>
          <w:rFonts w:eastAsia="Calibri"/>
          <w:szCs w:val="24"/>
        </w:rPr>
        <w:t>learner</w:t>
      </w:r>
      <w:r w:rsidR="000818B9">
        <w:rPr>
          <w:rFonts w:eastAsia="Calibri"/>
          <w:szCs w:val="24"/>
        </w:rPr>
        <w:t xml:space="preserve">-content interaction measurements. A separate measurement of time expended is used to represent student effort. Measures of student engagement for online students (Dixson 2010) are adapted </w:t>
      </w:r>
      <w:r w:rsidR="00073735">
        <w:rPr>
          <w:rFonts w:eastAsia="Calibri"/>
          <w:szCs w:val="24"/>
        </w:rPr>
        <w:t>and</w:t>
      </w:r>
      <w:r w:rsidR="000818B9">
        <w:rPr>
          <w:rFonts w:eastAsia="Calibri"/>
          <w:szCs w:val="24"/>
        </w:rPr>
        <w:t xml:space="preserve"> used with both </w:t>
      </w:r>
      <w:r w:rsidR="00E932B6">
        <w:rPr>
          <w:rFonts w:eastAsia="Calibri"/>
          <w:szCs w:val="24"/>
        </w:rPr>
        <w:t xml:space="preserve">the </w:t>
      </w:r>
      <w:r w:rsidR="000818B9">
        <w:rPr>
          <w:rFonts w:eastAsia="Calibri"/>
          <w:szCs w:val="24"/>
        </w:rPr>
        <w:t>online and campus students.</w:t>
      </w:r>
    </w:p>
    <w:p w:rsidR="000818B9" w:rsidRDefault="000818B9" w:rsidP="00E705F8">
      <w:pPr>
        <w:rPr>
          <w:rFonts w:eastAsia="Calibri"/>
          <w:szCs w:val="24"/>
        </w:rPr>
      </w:pPr>
    </w:p>
    <w:p w:rsidR="000818B9" w:rsidRPr="008341B9" w:rsidRDefault="000818B9" w:rsidP="000818B9">
      <w:pPr>
        <w:rPr>
          <w:rFonts w:eastAsia="Calibri"/>
          <w:szCs w:val="24"/>
        </w:rPr>
      </w:pPr>
      <w:r w:rsidRPr="008341B9">
        <w:rPr>
          <w:szCs w:val="24"/>
        </w:rPr>
        <w:t xml:space="preserve">Results from two campus-based and two online sections of a business finance course are used to test these expected </w:t>
      </w:r>
      <w:r w:rsidR="00E932B6" w:rsidRPr="008341B9">
        <w:rPr>
          <w:szCs w:val="24"/>
        </w:rPr>
        <w:t>impact of</w:t>
      </w:r>
      <w:r w:rsidRPr="008341B9">
        <w:rPr>
          <w:szCs w:val="24"/>
        </w:rPr>
        <w:t xml:space="preserve"> student effort </w:t>
      </w:r>
      <w:r w:rsidR="00E932B6" w:rsidRPr="008341B9">
        <w:rPr>
          <w:szCs w:val="24"/>
        </w:rPr>
        <w:t xml:space="preserve">and </w:t>
      </w:r>
      <w:r w:rsidRPr="008341B9">
        <w:rPr>
          <w:szCs w:val="24"/>
        </w:rPr>
        <w:t xml:space="preserve">learner-content interaction on student learning, engagement, and satisfaction. </w:t>
      </w:r>
      <w:r w:rsidR="008341B9" w:rsidRPr="008341B9">
        <w:rPr>
          <w:rFonts w:eastAsia="Calibri"/>
          <w:szCs w:val="24"/>
        </w:rPr>
        <w:t xml:space="preserve">The results suggest course design matters. Learner-content activities have a bigger impact on learning, when controlling for incoming variable of GPA, than any other variable. </w:t>
      </w:r>
      <w:r w:rsidRPr="008341B9">
        <w:rPr>
          <w:szCs w:val="24"/>
        </w:rPr>
        <w:t xml:space="preserve">The results of the study provide evidence of the importance of learner-content interaction on direct measures of student learning for both online and campus students, but unanticipated negative association of student effort with student learning for campus students. </w:t>
      </w:r>
      <w:r w:rsidR="003C163E">
        <w:rPr>
          <w:szCs w:val="24"/>
        </w:rPr>
        <w:t>Further analysis reveals</w:t>
      </w:r>
      <w:r w:rsidR="00E932B6" w:rsidRPr="008341B9">
        <w:rPr>
          <w:szCs w:val="24"/>
        </w:rPr>
        <w:t xml:space="preserve"> an interaction effect of student performance expectancy with student </w:t>
      </w:r>
      <w:r w:rsidR="00E932B6" w:rsidRPr="008341B9">
        <w:rPr>
          <w:szCs w:val="24"/>
        </w:rPr>
        <w:lastRenderedPageBreak/>
        <w:t xml:space="preserve">effort for campus students. </w:t>
      </w:r>
      <w:r w:rsidR="001E7893" w:rsidRPr="008341B9">
        <w:rPr>
          <w:szCs w:val="24"/>
        </w:rPr>
        <w:t xml:space="preserve">The results </w:t>
      </w:r>
      <w:r w:rsidR="00E932B6" w:rsidRPr="008341B9">
        <w:rPr>
          <w:szCs w:val="24"/>
        </w:rPr>
        <w:t xml:space="preserve">of the study </w:t>
      </w:r>
      <w:r w:rsidR="003C163E">
        <w:rPr>
          <w:szCs w:val="24"/>
        </w:rPr>
        <w:t xml:space="preserve">also support </w:t>
      </w:r>
      <w:r w:rsidR="001E7893" w:rsidRPr="008341B9">
        <w:rPr>
          <w:szCs w:val="24"/>
        </w:rPr>
        <w:t xml:space="preserve">the anticipated relationships between learner-content interaction and student engagement and satisfaction, but little association between student effort and student satisfaction. </w:t>
      </w:r>
      <w:r w:rsidR="00E932B6" w:rsidRPr="008341B9">
        <w:rPr>
          <w:szCs w:val="24"/>
        </w:rPr>
        <w:t>When comparing campus to online students, the study suggests</w:t>
      </w:r>
      <w:r w:rsidR="008341B9" w:rsidRPr="008341B9">
        <w:rPr>
          <w:szCs w:val="24"/>
        </w:rPr>
        <w:t xml:space="preserve"> higher levels of effort by online students, but minimal</w:t>
      </w:r>
      <w:r w:rsidR="00E932B6" w:rsidRPr="008341B9">
        <w:rPr>
          <w:szCs w:val="24"/>
        </w:rPr>
        <w:t xml:space="preserve"> </w:t>
      </w:r>
      <w:r w:rsidR="001E7893" w:rsidRPr="008341B9">
        <w:rPr>
          <w:rFonts w:eastAsia="Calibri"/>
          <w:szCs w:val="24"/>
        </w:rPr>
        <w:t xml:space="preserve">differences </w:t>
      </w:r>
      <w:r w:rsidR="008341B9" w:rsidRPr="008341B9">
        <w:rPr>
          <w:rFonts w:eastAsia="Calibri"/>
          <w:szCs w:val="24"/>
        </w:rPr>
        <w:t>in</w:t>
      </w:r>
      <w:r w:rsidR="00E932B6" w:rsidRPr="008341B9">
        <w:rPr>
          <w:rFonts w:eastAsia="Calibri"/>
          <w:szCs w:val="24"/>
        </w:rPr>
        <w:t xml:space="preserve"> </w:t>
      </w:r>
      <w:r w:rsidR="00073735">
        <w:rPr>
          <w:rFonts w:eastAsia="Calibri"/>
          <w:szCs w:val="24"/>
        </w:rPr>
        <w:t>learner</w:t>
      </w:r>
      <w:r w:rsidR="00E932B6" w:rsidRPr="008341B9">
        <w:rPr>
          <w:rFonts w:eastAsia="Calibri"/>
          <w:szCs w:val="24"/>
        </w:rPr>
        <w:t>-content interaction</w:t>
      </w:r>
      <w:r w:rsidR="001E7893" w:rsidRPr="008341B9">
        <w:rPr>
          <w:rFonts w:eastAsia="Calibri"/>
          <w:szCs w:val="24"/>
        </w:rPr>
        <w:t>, engagement,</w:t>
      </w:r>
      <w:r w:rsidR="008341B9" w:rsidRPr="008341B9">
        <w:rPr>
          <w:rFonts w:eastAsia="Calibri"/>
          <w:szCs w:val="24"/>
        </w:rPr>
        <w:t xml:space="preserve"> or</w:t>
      </w:r>
      <w:r w:rsidR="00E932B6" w:rsidRPr="008341B9">
        <w:rPr>
          <w:rFonts w:eastAsia="Calibri"/>
          <w:szCs w:val="24"/>
        </w:rPr>
        <w:t xml:space="preserve"> </w:t>
      </w:r>
      <w:r w:rsidR="001E7893" w:rsidRPr="008341B9">
        <w:rPr>
          <w:rFonts w:eastAsia="Calibri"/>
          <w:szCs w:val="24"/>
        </w:rPr>
        <w:t>satisfaction</w:t>
      </w:r>
      <w:r w:rsidR="008341B9" w:rsidRPr="008341B9">
        <w:rPr>
          <w:rFonts w:eastAsia="Calibri"/>
          <w:szCs w:val="24"/>
        </w:rPr>
        <w:t xml:space="preserve">. </w:t>
      </w:r>
      <w:r w:rsidRPr="008341B9">
        <w:rPr>
          <w:szCs w:val="24"/>
        </w:rPr>
        <w:t xml:space="preserve">Based on these results, the author provides suggestions on how to maximize the positive outcomes associated with learner-content interaction for both </w:t>
      </w:r>
      <w:r w:rsidR="00E932B6" w:rsidRPr="008341B9">
        <w:rPr>
          <w:szCs w:val="24"/>
        </w:rPr>
        <w:t>campus and online</w:t>
      </w:r>
      <w:r w:rsidRPr="008341B9">
        <w:rPr>
          <w:szCs w:val="24"/>
        </w:rPr>
        <w:t xml:space="preserve"> students while addressing the complicated association between </w:t>
      </w:r>
      <w:r w:rsidR="003C163E">
        <w:rPr>
          <w:szCs w:val="24"/>
        </w:rPr>
        <w:t xml:space="preserve">student </w:t>
      </w:r>
      <w:r w:rsidRPr="008341B9">
        <w:rPr>
          <w:szCs w:val="24"/>
        </w:rPr>
        <w:t>effort and outcomes.</w:t>
      </w:r>
      <w:r w:rsidRPr="008341B9">
        <w:rPr>
          <w:rFonts w:eastAsia="Calibri"/>
          <w:szCs w:val="24"/>
        </w:rPr>
        <w:t xml:space="preserve"> </w:t>
      </w:r>
    </w:p>
    <w:p w:rsidR="000818B9" w:rsidRDefault="000818B9" w:rsidP="00E705F8">
      <w:pPr>
        <w:rPr>
          <w:rFonts w:eastAsia="Calibri"/>
          <w:szCs w:val="24"/>
        </w:rPr>
      </w:pPr>
    </w:p>
    <w:p w:rsidR="006B4833" w:rsidRDefault="00E705F8" w:rsidP="003E45DC">
      <w:pPr>
        <w:spacing w:after="200" w:line="276" w:lineRule="auto"/>
        <w:rPr>
          <w:rFonts w:eastAsia="Calibri"/>
          <w:szCs w:val="24"/>
        </w:rPr>
      </w:pPr>
      <w:r w:rsidRPr="000A582F">
        <w:rPr>
          <w:rFonts w:eastAsia="Calibri"/>
          <w:szCs w:val="24"/>
        </w:rPr>
        <w:t>Select References:</w:t>
      </w:r>
    </w:p>
    <w:p w:rsidR="00517AD9" w:rsidRPr="00517AD9" w:rsidRDefault="00517AD9" w:rsidP="00E705F8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Anderson, T. (2003). Modes of interaction in distance education: Recent developments and research questions. In M.G. Moore, &amp; W.G. Anderson (Eds.), </w:t>
      </w:r>
      <w:r>
        <w:rPr>
          <w:rFonts w:eastAsia="Calibri"/>
          <w:i/>
          <w:szCs w:val="24"/>
        </w:rPr>
        <w:t xml:space="preserve">Handbook of distance education </w:t>
      </w:r>
      <w:r>
        <w:rPr>
          <w:rFonts w:eastAsia="Calibri"/>
          <w:szCs w:val="24"/>
        </w:rPr>
        <w:t>(pp. 120-144). Mahwah, NJ: Lawrence Erlbaum.</w:t>
      </w:r>
    </w:p>
    <w:p w:rsidR="00073735" w:rsidRDefault="00073735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Astin, A. (1993). </w:t>
      </w:r>
      <w:r w:rsidRPr="000A582F">
        <w:rPr>
          <w:rFonts w:eastAsia="Calibri"/>
          <w:i/>
          <w:szCs w:val="24"/>
        </w:rPr>
        <w:t>What matters in college? Four critical years revisited.</w:t>
      </w:r>
      <w:r w:rsidRPr="000A582F">
        <w:rPr>
          <w:rFonts w:eastAsia="Calibri"/>
          <w:szCs w:val="24"/>
        </w:rPr>
        <w:t xml:space="preserve"> San Francisco: Jossey-Bass.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>Car</w:t>
      </w:r>
      <w:r w:rsidR="00DA075D">
        <w:rPr>
          <w:rFonts w:eastAsia="Calibri"/>
          <w:szCs w:val="24"/>
        </w:rPr>
        <w:t>n</w:t>
      </w:r>
      <w:r w:rsidRPr="000A582F">
        <w:rPr>
          <w:rFonts w:eastAsia="Calibri"/>
          <w:szCs w:val="24"/>
        </w:rPr>
        <w:t xml:space="preserve">ini, R.M., Kuh, G.D., &amp; Klein, S.P. (2006). Student engagement and student learning: Testing the linkages. </w:t>
      </w:r>
      <w:r w:rsidRPr="000A582F">
        <w:rPr>
          <w:rFonts w:eastAsia="Calibri"/>
          <w:i/>
          <w:szCs w:val="24"/>
        </w:rPr>
        <w:t>Research in Higher Education</w:t>
      </w:r>
      <w:r w:rsidRPr="000A582F">
        <w:rPr>
          <w:rFonts w:eastAsia="Calibri"/>
          <w:szCs w:val="24"/>
        </w:rPr>
        <w:t xml:space="preserve">, </w:t>
      </w:r>
      <w:r w:rsidRPr="000A582F">
        <w:rPr>
          <w:rFonts w:eastAsia="Calibri"/>
          <w:i/>
          <w:szCs w:val="24"/>
        </w:rPr>
        <w:t>47,</w:t>
      </w:r>
      <w:r w:rsidRPr="000A582F">
        <w:rPr>
          <w:rFonts w:eastAsia="Calibri"/>
          <w:szCs w:val="24"/>
        </w:rPr>
        <w:t xml:space="preserve"> 1-32. </w:t>
      </w:r>
    </w:p>
    <w:p w:rsidR="00E705F8" w:rsidRPr="000A582F" w:rsidRDefault="00E705F8" w:rsidP="00E705F8">
      <w:pPr>
        <w:rPr>
          <w:rFonts w:ascii="Calibri" w:eastAsia="Calibri" w:hAnsi="Calibri"/>
          <w:sz w:val="22"/>
          <w:szCs w:val="22"/>
        </w:rPr>
      </w:pPr>
    </w:p>
    <w:p w:rsidR="00E705F8" w:rsidRPr="000A582F" w:rsidRDefault="00E705F8" w:rsidP="00E705F8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</w:rPr>
      </w:pPr>
      <w:r w:rsidRPr="000A582F">
        <w:rPr>
          <w:rFonts w:ascii="TimesNewRomanPSMT" w:eastAsia="Calibri" w:hAnsi="TimesNewRomanPSMT" w:cs="TimesNewRomanPSMT"/>
          <w:szCs w:val="24"/>
        </w:rPr>
        <w:t>Chickering, A. W. &amp; Ehrmann, S. (1996). Implementing the seven principles: Technology as</w:t>
      </w:r>
    </w:p>
    <w:p w:rsidR="00E705F8" w:rsidRPr="000A582F" w:rsidRDefault="00E705F8" w:rsidP="00E705F8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</w:rPr>
      </w:pPr>
      <w:r w:rsidRPr="000A582F">
        <w:rPr>
          <w:rFonts w:ascii="TimesNewRomanPSMT" w:eastAsia="Calibri" w:hAnsi="TimesNewRomanPSMT" w:cs="TimesNewRomanPSMT"/>
          <w:szCs w:val="24"/>
        </w:rPr>
        <w:t xml:space="preserve">lever. </w:t>
      </w:r>
      <w:r w:rsidRPr="000A582F">
        <w:rPr>
          <w:rFonts w:ascii="TimesNewRomanPSMT" w:eastAsia="Calibri" w:hAnsi="TimesNewRomanPSMT" w:cs="TimesNewRomanPSMT"/>
          <w:i/>
          <w:szCs w:val="24"/>
        </w:rPr>
        <w:t>AAHE Bulletin, 48</w:t>
      </w:r>
      <w:r w:rsidRPr="000A582F">
        <w:rPr>
          <w:rFonts w:ascii="TimesNewRomanPSMT" w:eastAsia="Calibri" w:hAnsi="TimesNewRomanPSMT" w:cs="TimesNewRomanPSMT"/>
          <w:szCs w:val="24"/>
        </w:rPr>
        <w:t>, 3-6. Retrieved on May 27, 2014 from</w:t>
      </w:r>
    </w:p>
    <w:p w:rsidR="00E705F8" w:rsidRPr="000A582F" w:rsidRDefault="00E705F8" w:rsidP="00E705F8">
      <w:pPr>
        <w:rPr>
          <w:rFonts w:ascii="Calibri" w:eastAsia="Calibri" w:hAnsi="Calibri"/>
          <w:sz w:val="22"/>
          <w:szCs w:val="22"/>
        </w:rPr>
      </w:pPr>
      <w:r w:rsidRPr="000A582F">
        <w:rPr>
          <w:rFonts w:ascii="TimesNewRomanPSMT" w:eastAsia="Calibri" w:hAnsi="TimesNewRomanPSMT" w:cs="TimesNewRomanPSMT"/>
          <w:szCs w:val="24"/>
        </w:rPr>
        <w:t>http://www.tltgroup.org/programs/seven.html.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Dixson, M.D. (2010). Creating effective student engagement in online courses: What do students find engaging? </w:t>
      </w:r>
      <w:r w:rsidRPr="000A582F">
        <w:rPr>
          <w:rFonts w:eastAsia="Calibri"/>
          <w:i/>
          <w:szCs w:val="24"/>
        </w:rPr>
        <w:t>Journal of the Scholarship of Teaching and Learning</w:t>
      </w:r>
      <w:r w:rsidRPr="000A582F">
        <w:rPr>
          <w:rFonts w:eastAsia="Calibri"/>
          <w:szCs w:val="24"/>
        </w:rPr>
        <w:t xml:space="preserve">, </w:t>
      </w:r>
      <w:r w:rsidRPr="000A582F">
        <w:rPr>
          <w:rFonts w:eastAsia="Calibri"/>
          <w:i/>
          <w:szCs w:val="24"/>
        </w:rPr>
        <w:t>10</w:t>
      </w:r>
      <w:r w:rsidRPr="000A582F">
        <w:rPr>
          <w:rFonts w:eastAsia="Calibri"/>
          <w:szCs w:val="24"/>
        </w:rPr>
        <w:t>, 1-13.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color w:val="000000"/>
          <w:szCs w:val="24"/>
          <w:shd w:val="clear" w:color="auto" w:fill="FFFFFF"/>
        </w:rPr>
        <w:t>Johnson, S.D. &amp; Aragon, S.R. (2003). An instructional strategy framework for online learning environments.</w:t>
      </w:r>
      <w:r w:rsidRPr="000A582F">
        <w:rPr>
          <w:rFonts w:eastAsia="Calibri"/>
          <w:i/>
          <w:color w:val="000000"/>
          <w:szCs w:val="24"/>
          <w:shd w:val="clear" w:color="auto" w:fill="FFFFFF"/>
        </w:rPr>
        <w:t xml:space="preserve"> New Directions for Adult and Continuing Education, 2003</w:t>
      </w:r>
      <w:r w:rsidRPr="000A582F">
        <w:rPr>
          <w:rFonts w:eastAsia="Calibri"/>
          <w:color w:val="000000"/>
          <w:szCs w:val="24"/>
          <w:shd w:val="clear" w:color="auto" w:fill="FFFFFF"/>
        </w:rPr>
        <w:t>, 31–43. doi: 10.1002/ace.117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Kuh, G. D. (2008). </w:t>
      </w:r>
      <w:r w:rsidRPr="000A582F">
        <w:rPr>
          <w:rFonts w:eastAsia="Calibri"/>
          <w:i/>
          <w:szCs w:val="24"/>
        </w:rPr>
        <w:t xml:space="preserve">High-impact educational practices: What they are, who has access to them, and why they matter. </w:t>
      </w:r>
      <w:r w:rsidRPr="000A582F">
        <w:rPr>
          <w:rFonts w:eastAsia="Calibri"/>
          <w:szCs w:val="24"/>
        </w:rPr>
        <w:t>Washington, DC: Association of American Colleges and Universities.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Kuh, G.D., Kinzie, J., Buckley, J.A., Bridges, B.K., &amp; Hayek, J.C. (2006). </w:t>
      </w:r>
      <w:r w:rsidRPr="000A582F">
        <w:rPr>
          <w:rFonts w:eastAsia="Calibri"/>
          <w:i/>
          <w:szCs w:val="24"/>
        </w:rPr>
        <w:t xml:space="preserve">What matters to student success: A review of the </w:t>
      </w:r>
      <w:r w:rsidR="00757AAD" w:rsidRPr="000A582F">
        <w:rPr>
          <w:rFonts w:eastAsia="Calibri"/>
          <w:i/>
          <w:szCs w:val="24"/>
        </w:rPr>
        <w:t>literature?</w:t>
      </w:r>
      <w:r w:rsidRPr="000A582F">
        <w:rPr>
          <w:rFonts w:eastAsia="Calibri"/>
          <w:i/>
          <w:szCs w:val="24"/>
        </w:rPr>
        <w:t xml:space="preserve"> </w:t>
      </w:r>
      <w:r w:rsidRPr="000A582F">
        <w:rPr>
          <w:rFonts w:eastAsia="Calibri"/>
          <w:szCs w:val="24"/>
        </w:rPr>
        <w:t>Washington, DC: National Postsecondary Education Cooperative.</w:t>
      </w:r>
    </w:p>
    <w:p w:rsidR="00BB6896" w:rsidRDefault="00BB6896" w:rsidP="00E705F8">
      <w:pPr>
        <w:rPr>
          <w:rFonts w:eastAsia="Calibri"/>
          <w:szCs w:val="24"/>
        </w:rPr>
      </w:pPr>
    </w:p>
    <w:p w:rsidR="003E45DC" w:rsidRDefault="003E45DC" w:rsidP="003E45DC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McLaughlin, M., McGrath, D.J., Burian-Fitzgerald, M.A., Lanahan, L., Scotchmer, M., Enyeart, C., &amp; Salganik, L. </w:t>
      </w:r>
      <w:r w:rsidR="00D36770">
        <w:rPr>
          <w:rFonts w:eastAsia="Calibri"/>
          <w:szCs w:val="24"/>
        </w:rPr>
        <w:t>(2005).</w:t>
      </w:r>
      <w:r>
        <w:rPr>
          <w:rFonts w:eastAsia="Calibri"/>
          <w:szCs w:val="24"/>
        </w:rPr>
        <w:t xml:space="preserve">  </w:t>
      </w:r>
      <w:r>
        <w:rPr>
          <w:rFonts w:eastAsia="Calibri"/>
          <w:i/>
          <w:szCs w:val="24"/>
        </w:rPr>
        <w:t>Student content engagement as a construct for the measurement of effective classroom instruction and teacher knowledge.</w:t>
      </w:r>
      <w:r>
        <w:rPr>
          <w:rFonts w:eastAsia="Calibri"/>
          <w:szCs w:val="24"/>
        </w:rPr>
        <w:t xml:space="preserve">  </w:t>
      </w:r>
      <w:r w:rsidRPr="003E45DC">
        <w:rPr>
          <w:rFonts w:eastAsia="Calibri"/>
          <w:szCs w:val="24"/>
        </w:rPr>
        <w:t xml:space="preserve">Retrieved </w:t>
      </w:r>
      <w:r w:rsidR="00D36770">
        <w:rPr>
          <w:rFonts w:eastAsia="Calibri"/>
          <w:szCs w:val="24"/>
        </w:rPr>
        <w:t xml:space="preserve">May 28, 2016, </w:t>
      </w:r>
      <w:r w:rsidRPr="003E45DC">
        <w:rPr>
          <w:rFonts w:eastAsia="Calibri"/>
          <w:szCs w:val="24"/>
        </w:rPr>
        <w:t>from http://www.air.org/files/AERA2005Student_Content_Engagement11.pdf</w:t>
      </w:r>
    </w:p>
    <w:p w:rsidR="003E45DC" w:rsidRDefault="003E45DC" w:rsidP="00E705F8">
      <w:pPr>
        <w:rPr>
          <w:rFonts w:eastAsia="Calibri"/>
          <w:szCs w:val="24"/>
        </w:rPr>
      </w:pPr>
    </w:p>
    <w:p w:rsidR="00581686" w:rsidRPr="00296FEE" w:rsidRDefault="00581686" w:rsidP="00E705F8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Miyazoe, </w:t>
      </w:r>
      <w:r w:rsidR="00296FEE">
        <w:rPr>
          <w:rFonts w:eastAsia="Calibri"/>
          <w:szCs w:val="24"/>
        </w:rPr>
        <w:t xml:space="preserve">T., &amp; Anderson, T. (2010). The interaction equivalency theorem. </w:t>
      </w:r>
      <w:r w:rsidR="00296FEE">
        <w:rPr>
          <w:rFonts w:eastAsia="Calibri"/>
          <w:i/>
          <w:szCs w:val="24"/>
        </w:rPr>
        <w:t>Journal of Interactive Online Learning,</w:t>
      </w:r>
      <w:r w:rsidR="00296FEE" w:rsidRPr="00296FEE">
        <w:rPr>
          <w:rFonts w:eastAsia="Calibri"/>
          <w:i/>
          <w:szCs w:val="24"/>
        </w:rPr>
        <w:t xml:space="preserve"> 9</w:t>
      </w:r>
      <w:r w:rsidR="00296FEE">
        <w:rPr>
          <w:rFonts w:eastAsia="Calibri"/>
          <w:szCs w:val="24"/>
        </w:rPr>
        <w:t>(2), 94-104.</w:t>
      </w:r>
    </w:p>
    <w:p w:rsidR="00581686" w:rsidRPr="000A582F" w:rsidRDefault="00581686" w:rsidP="00E705F8">
      <w:pPr>
        <w:rPr>
          <w:rFonts w:eastAsia="Calibri"/>
          <w:szCs w:val="24"/>
        </w:rPr>
      </w:pPr>
    </w:p>
    <w:p w:rsidR="00E705F8" w:rsidRPr="00BB6896" w:rsidRDefault="00BB6896" w:rsidP="00E705F8">
      <w:pPr>
        <w:rPr>
          <w:rFonts w:eastAsia="Calibri"/>
          <w:szCs w:val="24"/>
        </w:rPr>
      </w:pPr>
      <w:r w:rsidRPr="00BB6896">
        <w:rPr>
          <w:szCs w:val="24"/>
        </w:rPr>
        <w:lastRenderedPageBreak/>
        <w:t xml:space="preserve">Moore, M. (1989). Three types of interaction. </w:t>
      </w:r>
      <w:r w:rsidRPr="00BB6896">
        <w:rPr>
          <w:i/>
          <w:iCs/>
          <w:szCs w:val="24"/>
        </w:rPr>
        <w:t>The American Journal of Distance Education, 3</w:t>
      </w:r>
      <w:r w:rsidRPr="00BB6896">
        <w:rPr>
          <w:szCs w:val="24"/>
        </w:rPr>
        <w:t>(2), 1-7.</w:t>
      </w:r>
    </w:p>
    <w:p w:rsidR="00BB6896" w:rsidRDefault="00BB6896" w:rsidP="00E705F8">
      <w:pPr>
        <w:rPr>
          <w:rFonts w:eastAsia="Calibri"/>
          <w:szCs w:val="24"/>
        </w:rPr>
      </w:pPr>
    </w:p>
    <w:p w:rsidR="00581686" w:rsidRDefault="00B82917" w:rsidP="00E705F8">
      <w:pPr>
        <w:rPr>
          <w:rFonts w:eastAsia="Calibri"/>
          <w:szCs w:val="24"/>
        </w:rPr>
      </w:pPr>
      <w:r>
        <w:rPr>
          <w:rFonts w:eastAsia="Calibri"/>
          <w:szCs w:val="24"/>
        </w:rPr>
        <w:t>Murray,</w:t>
      </w:r>
      <w:r w:rsidR="00311C86">
        <w:rPr>
          <w:rFonts w:eastAsia="Calibri"/>
          <w:szCs w:val="24"/>
        </w:rPr>
        <w:t xml:space="preserve"> M., Perez, J., Geist, D., &amp; Hedrick, A. (2013). Student interaction with content in online and hybrid courses: Leading horses to the proverbial water. </w:t>
      </w:r>
      <w:r w:rsidR="00311C86" w:rsidRPr="00311C86">
        <w:rPr>
          <w:rFonts w:eastAsia="Calibri"/>
          <w:i/>
          <w:szCs w:val="24"/>
        </w:rPr>
        <w:t>Informing Science:</w:t>
      </w:r>
      <w:r w:rsidR="00311C86">
        <w:rPr>
          <w:rFonts w:eastAsia="Calibri"/>
          <w:szCs w:val="24"/>
        </w:rPr>
        <w:t xml:space="preserve"> </w:t>
      </w:r>
      <w:r w:rsidR="00311C86">
        <w:rPr>
          <w:rFonts w:eastAsia="Calibri"/>
          <w:i/>
          <w:szCs w:val="24"/>
        </w:rPr>
        <w:t>The International Journal of an Emerging Discipline (16).</w:t>
      </w:r>
      <w:r>
        <w:rPr>
          <w:rFonts w:eastAsia="Calibri"/>
          <w:szCs w:val="24"/>
        </w:rPr>
        <w:t xml:space="preserve"> </w:t>
      </w:r>
      <w:r w:rsidR="003E45DC">
        <w:rPr>
          <w:rFonts w:eastAsia="Calibri"/>
          <w:szCs w:val="24"/>
        </w:rPr>
        <w:t xml:space="preserve">Retrieved May 28, 2016, from </w:t>
      </w:r>
      <w:hyperlink r:id="rId5" w:history="1">
        <w:r w:rsidR="00311C86" w:rsidRPr="001D538A">
          <w:rPr>
            <w:rStyle w:val="Hyperlink"/>
            <w:rFonts w:eastAsia="Calibri"/>
            <w:szCs w:val="24"/>
          </w:rPr>
          <w:t>www.informingscience.org</w:t>
        </w:r>
      </w:hyperlink>
      <w:r w:rsidR="00311C86">
        <w:rPr>
          <w:rFonts w:eastAsia="Calibri"/>
          <w:szCs w:val="24"/>
        </w:rPr>
        <w:t>.</w:t>
      </w:r>
    </w:p>
    <w:p w:rsidR="003E45DC" w:rsidRDefault="003E45DC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Pascarella, E. &amp; Terenzini, P. (2005). </w:t>
      </w:r>
      <w:r w:rsidRPr="000A582F">
        <w:rPr>
          <w:rFonts w:eastAsia="Calibri"/>
          <w:i/>
          <w:szCs w:val="24"/>
        </w:rPr>
        <w:t>How college affects students, A third decade of research (Vol. 2).</w:t>
      </w:r>
      <w:r w:rsidRPr="000A582F">
        <w:rPr>
          <w:rFonts w:eastAsia="Calibri"/>
          <w:szCs w:val="24"/>
        </w:rPr>
        <w:t xml:space="preserve"> San Francisco: Jossey-Bass</w:t>
      </w:r>
    </w:p>
    <w:p w:rsidR="00E705F8" w:rsidRPr="000A582F" w:rsidRDefault="00E705F8" w:rsidP="00E705F8">
      <w:pPr>
        <w:rPr>
          <w:rFonts w:eastAsia="Calibri"/>
          <w:szCs w:val="24"/>
        </w:rPr>
      </w:pPr>
    </w:p>
    <w:p w:rsidR="00E705F8" w:rsidRPr="000A582F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szCs w:val="24"/>
        </w:rPr>
        <w:t xml:space="preserve">Tinto, V. (1993).  </w:t>
      </w:r>
      <w:r w:rsidRPr="000A582F">
        <w:rPr>
          <w:rFonts w:eastAsia="Calibri"/>
          <w:i/>
          <w:szCs w:val="24"/>
        </w:rPr>
        <w:t xml:space="preserve">Leaving college: Rethinking the causes and cures of student attrition (2nd </w:t>
      </w:r>
    </w:p>
    <w:p w:rsidR="00E705F8" w:rsidRDefault="00E705F8" w:rsidP="00E705F8">
      <w:pPr>
        <w:rPr>
          <w:rFonts w:eastAsia="Calibri"/>
          <w:szCs w:val="24"/>
        </w:rPr>
      </w:pPr>
      <w:r w:rsidRPr="000A582F">
        <w:rPr>
          <w:rFonts w:eastAsia="Calibri"/>
          <w:i/>
          <w:szCs w:val="24"/>
        </w:rPr>
        <w:t>ed.)</w:t>
      </w:r>
      <w:r w:rsidRPr="000A582F">
        <w:rPr>
          <w:rFonts w:eastAsia="Calibri"/>
          <w:szCs w:val="24"/>
        </w:rPr>
        <w:t>. Chicago: University of Chicago Press.</w:t>
      </w:r>
    </w:p>
    <w:p w:rsidR="00B82917" w:rsidRDefault="00B82917" w:rsidP="00E705F8">
      <w:pPr>
        <w:rPr>
          <w:rFonts w:eastAsia="Calibri"/>
          <w:szCs w:val="24"/>
        </w:rPr>
      </w:pPr>
    </w:p>
    <w:p w:rsidR="00B82917" w:rsidRPr="00683FD0" w:rsidRDefault="00B82917" w:rsidP="00E705F8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Thurmond, V. &amp; Wambach, K. (2004). Understanding interactions in distance education: A review of literature. </w:t>
      </w:r>
      <w:r w:rsidR="00683FD0" w:rsidRPr="00683FD0">
        <w:rPr>
          <w:rFonts w:eastAsia="Calibri"/>
          <w:i/>
          <w:szCs w:val="24"/>
        </w:rPr>
        <w:t>International Journal of Instructional Technology &amp; Distance Learning, 1</w:t>
      </w:r>
      <w:r w:rsidR="00683FD0">
        <w:rPr>
          <w:rFonts w:eastAsia="Calibri"/>
          <w:szCs w:val="24"/>
        </w:rPr>
        <w:t xml:space="preserve">(1). </w:t>
      </w:r>
      <w:r w:rsidR="003E45DC">
        <w:rPr>
          <w:rFonts w:eastAsia="Calibri"/>
          <w:szCs w:val="24"/>
        </w:rPr>
        <w:t>Retrieved May 28, 2016, from h</w:t>
      </w:r>
      <w:r w:rsidR="00683FD0" w:rsidRPr="00683FD0">
        <w:rPr>
          <w:rFonts w:eastAsia="Calibri"/>
          <w:szCs w:val="24"/>
        </w:rPr>
        <w:t>ttp://www.itdl.org/journal/Jan_04/article02.htm</w:t>
      </w:r>
      <w:r w:rsidR="00683FD0">
        <w:rPr>
          <w:rFonts w:eastAsia="Calibri"/>
          <w:szCs w:val="24"/>
        </w:rPr>
        <w:t>.</w:t>
      </w:r>
    </w:p>
    <w:p w:rsidR="00B638DE" w:rsidRDefault="00B638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B82917" w:rsidRPr="00B82917" w:rsidRDefault="00B82917" w:rsidP="00B82917">
      <w:pPr>
        <w:widowControl w:val="0"/>
        <w:tabs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B82917">
        <w:rPr>
          <w:szCs w:val="24"/>
        </w:rPr>
        <w:t xml:space="preserve">Zimmerman, T. D. (2012) Exploring learner to content interaction as a success factor in online courses. </w:t>
      </w:r>
      <w:r w:rsidRPr="00B82917">
        <w:rPr>
          <w:i/>
          <w:szCs w:val="24"/>
        </w:rPr>
        <w:t>The international review of research in open and distributed learning, 13</w:t>
      </w:r>
      <w:r w:rsidRPr="00B82917">
        <w:rPr>
          <w:szCs w:val="24"/>
        </w:rPr>
        <w:t>(4).</w:t>
      </w:r>
      <w:r w:rsidR="003E45DC">
        <w:rPr>
          <w:szCs w:val="24"/>
        </w:rPr>
        <w:t xml:space="preserve"> Retrieved May 28, 2016, from </w:t>
      </w:r>
      <w:r w:rsidRPr="00B82917">
        <w:rPr>
          <w:szCs w:val="24"/>
        </w:rPr>
        <w:t>www.irrodl.org/index.</w:t>
      </w:r>
    </w:p>
    <w:sectPr w:rsidR="00B82917" w:rsidRPr="00B82917">
      <w:pgSz w:w="12240" w:h="15840"/>
      <w:pgMar w:top="1296" w:right="1440" w:bottom="1296" w:left="1440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B3"/>
    <w:rsid w:val="00007AAF"/>
    <w:rsid w:val="0001687A"/>
    <w:rsid w:val="00060803"/>
    <w:rsid w:val="00073735"/>
    <w:rsid w:val="000818B9"/>
    <w:rsid w:val="00084043"/>
    <w:rsid w:val="000C4E33"/>
    <w:rsid w:val="000E6E56"/>
    <w:rsid w:val="0015166F"/>
    <w:rsid w:val="00156062"/>
    <w:rsid w:val="00161332"/>
    <w:rsid w:val="001E7893"/>
    <w:rsid w:val="00207505"/>
    <w:rsid w:val="00220F5C"/>
    <w:rsid w:val="00296FEE"/>
    <w:rsid w:val="002D699C"/>
    <w:rsid w:val="002D7C46"/>
    <w:rsid w:val="002E6368"/>
    <w:rsid w:val="00305CA3"/>
    <w:rsid w:val="00311C86"/>
    <w:rsid w:val="003363CA"/>
    <w:rsid w:val="00363902"/>
    <w:rsid w:val="003A3388"/>
    <w:rsid w:val="003A6EE0"/>
    <w:rsid w:val="003B4D15"/>
    <w:rsid w:val="003C163E"/>
    <w:rsid w:val="003E45DC"/>
    <w:rsid w:val="003F253E"/>
    <w:rsid w:val="003F45C3"/>
    <w:rsid w:val="00412320"/>
    <w:rsid w:val="00415920"/>
    <w:rsid w:val="00517AD9"/>
    <w:rsid w:val="00532F05"/>
    <w:rsid w:val="00561987"/>
    <w:rsid w:val="00581686"/>
    <w:rsid w:val="00622AA0"/>
    <w:rsid w:val="00647CB3"/>
    <w:rsid w:val="006667FE"/>
    <w:rsid w:val="00683FD0"/>
    <w:rsid w:val="006B4833"/>
    <w:rsid w:val="006F1BCA"/>
    <w:rsid w:val="00705C5F"/>
    <w:rsid w:val="0071561B"/>
    <w:rsid w:val="00757AAD"/>
    <w:rsid w:val="00760F85"/>
    <w:rsid w:val="0078647B"/>
    <w:rsid w:val="007E3E35"/>
    <w:rsid w:val="00812B1E"/>
    <w:rsid w:val="008341B9"/>
    <w:rsid w:val="0084635B"/>
    <w:rsid w:val="0086675C"/>
    <w:rsid w:val="0096719C"/>
    <w:rsid w:val="009709E6"/>
    <w:rsid w:val="009B59C0"/>
    <w:rsid w:val="009C3659"/>
    <w:rsid w:val="009D1F5A"/>
    <w:rsid w:val="009F66EE"/>
    <w:rsid w:val="00A03AC7"/>
    <w:rsid w:val="00A46072"/>
    <w:rsid w:val="00AC4D11"/>
    <w:rsid w:val="00B02AA8"/>
    <w:rsid w:val="00B62631"/>
    <w:rsid w:val="00B638DE"/>
    <w:rsid w:val="00B74FA9"/>
    <w:rsid w:val="00B82917"/>
    <w:rsid w:val="00BB6896"/>
    <w:rsid w:val="00BD14AB"/>
    <w:rsid w:val="00BE59F3"/>
    <w:rsid w:val="00C52019"/>
    <w:rsid w:val="00CC0348"/>
    <w:rsid w:val="00D020AE"/>
    <w:rsid w:val="00D05539"/>
    <w:rsid w:val="00D07CC0"/>
    <w:rsid w:val="00D3161A"/>
    <w:rsid w:val="00D36770"/>
    <w:rsid w:val="00D54692"/>
    <w:rsid w:val="00DA075D"/>
    <w:rsid w:val="00DB250D"/>
    <w:rsid w:val="00DD0746"/>
    <w:rsid w:val="00E547DD"/>
    <w:rsid w:val="00E705F8"/>
    <w:rsid w:val="00E932B6"/>
    <w:rsid w:val="00E969D6"/>
    <w:rsid w:val="00EA1599"/>
    <w:rsid w:val="00EA4629"/>
    <w:rsid w:val="00EB11D9"/>
    <w:rsid w:val="00EE68E0"/>
    <w:rsid w:val="00EF1DAB"/>
    <w:rsid w:val="00F038E0"/>
    <w:rsid w:val="00F1498D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45604"/>
  <w15:chartTrackingRefBased/>
  <w15:docId w15:val="{EB480D6E-1748-453B-BA12-B3A7161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5F8"/>
    <w:rPr>
      <w:rFonts w:ascii="Calibri" w:eastAsia="Calibri" w:hAnsi="Calibri"/>
      <w:sz w:val="22"/>
      <w:szCs w:val="22"/>
    </w:r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i/>
      <w:sz w:val="28"/>
    </w:rPr>
  </w:style>
  <w:style w:type="character" w:customStyle="1" w:styleId="DefaultPara">
    <w:name w:val="Default Para"/>
    <w:rPr>
      <w:sz w:val="24"/>
    </w:rPr>
  </w:style>
  <w:style w:type="character" w:customStyle="1" w:styleId="EndnoteText1">
    <w:name w:val="Endnote Text1"/>
    <w:rPr>
      <w:sz w:val="24"/>
    </w:rPr>
  </w:style>
  <w:style w:type="character" w:customStyle="1" w:styleId="endnoterefe">
    <w:name w:val="endnote refe"/>
    <w:rPr>
      <w:sz w:val="24"/>
      <w:vertAlign w:val="superscript"/>
    </w:rPr>
  </w:style>
  <w:style w:type="character" w:customStyle="1" w:styleId="footnotetex">
    <w:name w:val="footnote tex"/>
    <w:rPr>
      <w:sz w:val="24"/>
    </w:rPr>
  </w:style>
  <w:style w:type="character" w:customStyle="1" w:styleId="footnoteref">
    <w:name w:val="footnote ref"/>
    <w:rPr>
      <w:sz w:val="24"/>
      <w:vertAlign w:val="superscript"/>
    </w:rPr>
  </w:style>
  <w:style w:type="character" w:customStyle="1" w:styleId="TOC11">
    <w:name w:val="TOC 11"/>
    <w:basedOn w:val="DefaultParagraphFont"/>
  </w:style>
  <w:style w:type="character" w:customStyle="1" w:styleId="TOC21">
    <w:name w:val="TOC 21"/>
    <w:basedOn w:val="DefaultParagraphFont"/>
  </w:style>
  <w:style w:type="character" w:customStyle="1" w:styleId="TOC31">
    <w:name w:val="TOC 31"/>
    <w:basedOn w:val="DefaultParagraphFont"/>
  </w:style>
  <w:style w:type="character" w:customStyle="1" w:styleId="TOC41">
    <w:name w:val="TOC 41"/>
    <w:basedOn w:val="DefaultParagraphFont"/>
  </w:style>
  <w:style w:type="character" w:customStyle="1" w:styleId="TOC51">
    <w:name w:val="TOC 51"/>
    <w:basedOn w:val="DefaultParagraphFont"/>
  </w:style>
  <w:style w:type="character" w:customStyle="1" w:styleId="TOC61">
    <w:name w:val="TOC 61"/>
    <w:basedOn w:val="DefaultParagraphFont"/>
  </w:style>
  <w:style w:type="character" w:customStyle="1" w:styleId="TOC71">
    <w:name w:val="TOC 71"/>
    <w:basedOn w:val="DefaultParagraphFont"/>
  </w:style>
  <w:style w:type="character" w:customStyle="1" w:styleId="TOC81">
    <w:name w:val="TOC 81"/>
    <w:basedOn w:val="DefaultParagraphFont"/>
  </w:style>
  <w:style w:type="character" w:customStyle="1" w:styleId="TOC91">
    <w:name w:val="TOC 91"/>
    <w:basedOn w:val="DefaultParagraphFont"/>
  </w:style>
  <w:style w:type="character" w:customStyle="1" w:styleId="Index11">
    <w:name w:val="Index 11"/>
    <w:basedOn w:val="DefaultParagraphFont"/>
  </w:style>
  <w:style w:type="character" w:customStyle="1" w:styleId="Index21">
    <w:name w:val="Index 21"/>
    <w:basedOn w:val="DefaultParagraphFont"/>
  </w:style>
  <w:style w:type="character" w:customStyle="1" w:styleId="TOAHeading1">
    <w:name w:val="TOA Heading1"/>
    <w:basedOn w:val="DefaultParagraphFont"/>
  </w:style>
  <w:style w:type="character" w:customStyle="1" w:styleId="Caption1">
    <w:name w:val="Caption1"/>
    <w:rPr>
      <w:sz w:val="24"/>
    </w:rPr>
  </w:style>
  <w:style w:type="character" w:customStyle="1" w:styleId="EquationCa">
    <w:name w:val="_Equation Ca"/>
    <w:rPr>
      <w:sz w:val="24"/>
    </w:rPr>
  </w:style>
  <w:style w:type="character" w:styleId="Hyperlink">
    <w:name w:val="Hyperlink"/>
    <w:basedOn w:val="DefaultParagraphFont"/>
    <w:rsid w:val="009B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ingscience.org" TargetMode="External"/><Relationship Id="rId4" Type="http://schemas.openxmlformats.org/officeDocument/2006/relationships/hyperlink" Target="mailto:jfredrickson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7206</Characters>
  <Application>Microsoft Office Word</Application>
  <DocSecurity>0</DocSecurity>
  <Lines>240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Joann Fredrickson</cp:lastModifiedBy>
  <cp:revision>2</cp:revision>
  <cp:lastPrinted>2007-11-11T01:04:00Z</cp:lastPrinted>
  <dcterms:created xsi:type="dcterms:W3CDTF">2016-12-05T18:31:00Z</dcterms:created>
  <dcterms:modified xsi:type="dcterms:W3CDTF">2016-12-05T18:31:00Z</dcterms:modified>
</cp:coreProperties>
</file>