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F8A6" w14:textId="77777777" w:rsidR="007D47D4" w:rsidRDefault="007D47D4" w:rsidP="005D0F47">
      <w:pPr>
        <w:pStyle w:val="NormalWeb"/>
        <w:spacing w:before="0" w:beforeAutospacing="0" w:after="0" w:afterAutospacing="0"/>
        <w:jc w:val="center"/>
        <w:rPr>
          <w:b/>
          <w:bCs/>
          <w:color w:val="000000"/>
        </w:rPr>
      </w:pPr>
      <w:bookmarkStart w:id="0" w:name="_GoBack"/>
      <w:bookmarkEnd w:id="0"/>
    </w:p>
    <w:p w14:paraId="491AE537" w14:textId="718C4901" w:rsidR="005D0F47" w:rsidRPr="007D47D4" w:rsidRDefault="007D47D4" w:rsidP="00F10135">
      <w:pPr>
        <w:pStyle w:val="NormalWeb"/>
        <w:spacing w:before="0" w:beforeAutospacing="0" w:after="0" w:afterAutospacing="0" w:line="240" w:lineRule="auto"/>
        <w:jc w:val="center"/>
        <w:rPr>
          <w:b/>
          <w:bCs/>
          <w:color w:val="000000"/>
          <w:sz w:val="36"/>
          <w:szCs w:val="36"/>
        </w:rPr>
      </w:pPr>
      <w:r w:rsidRPr="007D47D4">
        <w:rPr>
          <w:b/>
          <w:bCs/>
          <w:color w:val="000000"/>
          <w:sz w:val="36"/>
          <w:szCs w:val="36"/>
        </w:rPr>
        <w:t xml:space="preserve">The New </w:t>
      </w:r>
      <w:r w:rsidR="00FE253A">
        <w:rPr>
          <w:b/>
          <w:bCs/>
          <w:color w:val="000000"/>
          <w:sz w:val="36"/>
          <w:szCs w:val="36"/>
        </w:rPr>
        <w:t>ROME: Teaching DuPont Analysis i</w:t>
      </w:r>
      <w:r w:rsidRPr="007D47D4">
        <w:rPr>
          <w:b/>
          <w:bCs/>
          <w:color w:val="000000"/>
          <w:sz w:val="36"/>
          <w:szCs w:val="36"/>
        </w:rPr>
        <w:t xml:space="preserve">n </w:t>
      </w:r>
      <w:r w:rsidR="00FE253A">
        <w:rPr>
          <w:b/>
          <w:bCs/>
          <w:color w:val="000000"/>
          <w:sz w:val="36"/>
          <w:szCs w:val="36"/>
        </w:rPr>
        <w:t>a</w:t>
      </w:r>
      <w:r w:rsidRPr="007D47D4">
        <w:rPr>
          <w:b/>
          <w:bCs/>
          <w:color w:val="000000"/>
          <w:sz w:val="36"/>
          <w:szCs w:val="36"/>
        </w:rPr>
        <w:t>n Intangible World</w:t>
      </w:r>
    </w:p>
    <w:p w14:paraId="27D847FF" w14:textId="77777777" w:rsidR="005D0F47" w:rsidRPr="007D47D4" w:rsidRDefault="005D0F47" w:rsidP="00F10135">
      <w:pPr>
        <w:pStyle w:val="NormalWeb"/>
        <w:spacing w:before="0" w:beforeAutospacing="0" w:after="0" w:afterAutospacing="0" w:line="240" w:lineRule="auto"/>
        <w:jc w:val="center"/>
        <w:rPr>
          <w:b/>
          <w:bCs/>
          <w:color w:val="000000"/>
        </w:rPr>
      </w:pPr>
    </w:p>
    <w:p w14:paraId="3426B817" w14:textId="044FFE53" w:rsidR="005D0F47" w:rsidRPr="007D47D4" w:rsidRDefault="00C56451" w:rsidP="00F10135">
      <w:pPr>
        <w:pStyle w:val="NormalWeb"/>
        <w:spacing w:before="0" w:beforeAutospacing="0" w:after="0" w:afterAutospacing="0" w:line="240" w:lineRule="auto"/>
        <w:jc w:val="center"/>
        <w:rPr>
          <w:b/>
          <w:color w:val="000000"/>
        </w:rPr>
      </w:pPr>
      <w:proofErr w:type="spellStart"/>
      <w:r w:rsidRPr="007D47D4">
        <w:rPr>
          <w:b/>
          <w:color w:val="000000"/>
        </w:rPr>
        <w:t>Neeraj</w:t>
      </w:r>
      <w:proofErr w:type="spellEnd"/>
      <w:r w:rsidRPr="007D47D4">
        <w:rPr>
          <w:b/>
          <w:color w:val="000000"/>
        </w:rPr>
        <w:t xml:space="preserve"> </w:t>
      </w:r>
      <w:r w:rsidR="005F591A" w:rsidRPr="007D47D4">
        <w:rPr>
          <w:b/>
          <w:color w:val="000000"/>
        </w:rPr>
        <w:t xml:space="preserve">J. </w:t>
      </w:r>
      <w:r w:rsidRPr="007D47D4">
        <w:rPr>
          <w:b/>
          <w:color w:val="000000"/>
        </w:rPr>
        <w:t>Gupta</w:t>
      </w:r>
      <w:r w:rsidR="00254310">
        <w:rPr>
          <w:b/>
          <w:color w:val="000000"/>
        </w:rPr>
        <w:t>, Elon University</w:t>
      </w:r>
    </w:p>
    <w:p w14:paraId="4C710CE4" w14:textId="2345A638" w:rsidR="005F591A" w:rsidRPr="007D47D4" w:rsidRDefault="005F591A" w:rsidP="00F10135">
      <w:pPr>
        <w:pStyle w:val="NormalWeb"/>
        <w:spacing w:before="0" w:beforeAutospacing="0" w:after="0" w:afterAutospacing="0" w:line="240" w:lineRule="auto"/>
        <w:jc w:val="center"/>
        <w:rPr>
          <w:b/>
          <w:color w:val="000000"/>
        </w:rPr>
      </w:pPr>
      <w:proofErr w:type="spellStart"/>
      <w:r w:rsidRPr="007D47D4">
        <w:rPr>
          <w:b/>
          <w:color w:val="000000"/>
        </w:rPr>
        <w:t>Wonhi</w:t>
      </w:r>
      <w:proofErr w:type="spellEnd"/>
      <w:r w:rsidRPr="007D47D4">
        <w:rPr>
          <w:b/>
          <w:color w:val="000000"/>
        </w:rPr>
        <w:t xml:space="preserve"> </w:t>
      </w:r>
      <w:proofErr w:type="spellStart"/>
      <w:r w:rsidRPr="007D47D4">
        <w:rPr>
          <w:b/>
          <w:color w:val="000000"/>
        </w:rPr>
        <w:t>Synn</w:t>
      </w:r>
      <w:proofErr w:type="spellEnd"/>
      <w:r w:rsidR="00254310">
        <w:rPr>
          <w:b/>
          <w:color w:val="000000"/>
        </w:rPr>
        <w:t>, Elon University</w:t>
      </w:r>
    </w:p>
    <w:p w14:paraId="28086C0F" w14:textId="420688F6" w:rsidR="00B92FE5" w:rsidRPr="007D47D4" w:rsidRDefault="00B92FE5" w:rsidP="00F10135">
      <w:pPr>
        <w:pStyle w:val="NormalWeb"/>
        <w:spacing w:before="0" w:beforeAutospacing="0" w:after="0" w:afterAutospacing="0" w:line="240" w:lineRule="auto"/>
        <w:jc w:val="center"/>
        <w:rPr>
          <w:b/>
          <w:color w:val="000000"/>
        </w:rPr>
      </w:pPr>
      <w:r w:rsidRPr="007D47D4">
        <w:rPr>
          <w:b/>
          <w:color w:val="000000"/>
        </w:rPr>
        <w:t>Kate Upton</w:t>
      </w:r>
      <w:r w:rsidR="00254310">
        <w:rPr>
          <w:b/>
          <w:color w:val="000000"/>
        </w:rPr>
        <w:t>, Elon University</w:t>
      </w:r>
    </w:p>
    <w:p w14:paraId="037E4F9A" w14:textId="77777777" w:rsidR="0043749F" w:rsidRDefault="0043749F" w:rsidP="00F10135">
      <w:pPr>
        <w:jc w:val="center"/>
        <w:rPr>
          <w:bCs/>
          <w:kern w:val="32"/>
        </w:rPr>
      </w:pPr>
    </w:p>
    <w:p w14:paraId="54FD6418" w14:textId="77777777" w:rsidR="00F10135" w:rsidRDefault="00F10135" w:rsidP="00F10135">
      <w:pPr>
        <w:jc w:val="center"/>
        <w:rPr>
          <w:bCs/>
          <w:kern w:val="32"/>
        </w:rPr>
      </w:pPr>
    </w:p>
    <w:p w14:paraId="29A97353" w14:textId="3ED4080B" w:rsidR="0043749F" w:rsidRDefault="0043749F" w:rsidP="00FB05CD">
      <w:pPr>
        <w:jc w:val="center"/>
        <w:rPr>
          <w:b/>
          <w:bCs/>
          <w:kern w:val="32"/>
        </w:rPr>
      </w:pPr>
      <w:r w:rsidRPr="0043749F">
        <w:rPr>
          <w:b/>
          <w:bCs/>
          <w:kern w:val="32"/>
        </w:rPr>
        <w:t>A</w:t>
      </w:r>
      <w:r w:rsidR="00FB05CD">
        <w:rPr>
          <w:b/>
          <w:bCs/>
          <w:kern w:val="32"/>
        </w:rPr>
        <w:t>BSTRACT</w:t>
      </w:r>
    </w:p>
    <w:p w14:paraId="45465F9E" w14:textId="77777777" w:rsidR="00FB05CD" w:rsidRPr="0043749F" w:rsidRDefault="00FB05CD" w:rsidP="00FB05CD">
      <w:pPr>
        <w:jc w:val="center"/>
        <w:rPr>
          <w:b/>
          <w:bCs/>
          <w:kern w:val="32"/>
        </w:rPr>
      </w:pPr>
    </w:p>
    <w:p w14:paraId="5AC27CC6" w14:textId="0D891E7B" w:rsidR="0043749F" w:rsidRDefault="0043749F" w:rsidP="00FB05CD">
      <w:pPr>
        <w:ind w:left="720" w:right="720"/>
        <w:jc w:val="both"/>
        <w:rPr>
          <w:bCs/>
          <w:i/>
          <w:kern w:val="32"/>
        </w:rPr>
      </w:pPr>
      <w:r w:rsidRPr="00FB05CD">
        <w:rPr>
          <w:bCs/>
          <w:i/>
          <w:kern w:val="32"/>
        </w:rPr>
        <w:t>The traditional ROE and the accompanying DuPont analysis provide a measure of return for investors and a means to explain changes in profitability, respectively. We demonstrate that the traditional DuPont components of ROE, profit margin, asset turnover, and financial leverage omit a crucial piece of firm’s ability to generate profit: intangible assets. Because of technology and a variety of other reasons, firms’ assets are becoming increasing more intangible. We propose a new measure of profitability, Return on Market Equity (ROME), which should be more relevant to analysts and investors, and should make understanding investor returns more meaningful for students in the classroom. This measure incorporates a fourth component to the DuPont analysis, Book to Market Equity, a proxy for a firm’s level of intangible assets which are valued by the market, but may not appear on corporate balance sheets. We illustrate how the ROME is a more effective measure of profitability for a number of firms and industry sectors.</w:t>
      </w:r>
    </w:p>
    <w:p w14:paraId="1AC59528" w14:textId="77777777" w:rsidR="00DA6AEC" w:rsidRDefault="00DA6AEC" w:rsidP="00FB05CD">
      <w:pPr>
        <w:ind w:left="720" w:right="720"/>
        <w:jc w:val="both"/>
        <w:rPr>
          <w:bCs/>
          <w:i/>
          <w:kern w:val="32"/>
        </w:rPr>
      </w:pPr>
    </w:p>
    <w:p w14:paraId="28F7E00C" w14:textId="77777777" w:rsidR="00DA6AEC" w:rsidRDefault="00DA6AEC" w:rsidP="00FB05CD">
      <w:pPr>
        <w:ind w:left="720" w:right="720"/>
        <w:jc w:val="both"/>
        <w:rPr>
          <w:bCs/>
          <w:i/>
          <w:kern w:val="32"/>
        </w:rPr>
      </w:pPr>
    </w:p>
    <w:p w14:paraId="5B1FC389" w14:textId="679CECB3" w:rsidR="00DA6AEC" w:rsidRPr="00DA6AEC" w:rsidRDefault="00DA6AEC" w:rsidP="00DA6AEC">
      <w:pPr>
        <w:jc w:val="both"/>
        <w:rPr>
          <w:b/>
          <w:bCs/>
          <w:kern w:val="32"/>
        </w:rPr>
      </w:pPr>
      <w:r w:rsidRPr="00DA6AEC">
        <w:rPr>
          <w:b/>
          <w:bCs/>
          <w:kern w:val="32"/>
        </w:rPr>
        <w:t>INTRODUCTION</w:t>
      </w:r>
    </w:p>
    <w:p w14:paraId="6C9D3F93" w14:textId="77777777" w:rsidR="00DA6AEC" w:rsidRDefault="00DA6AEC" w:rsidP="00DA6AEC">
      <w:pPr>
        <w:jc w:val="both"/>
        <w:rPr>
          <w:bCs/>
          <w:i/>
          <w:kern w:val="32"/>
        </w:rPr>
      </w:pPr>
    </w:p>
    <w:p w14:paraId="485AEEE5" w14:textId="00626DED" w:rsidR="00DA6AEC" w:rsidRDefault="00DA6AEC" w:rsidP="00887B3F">
      <w:pPr>
        <w:ind w:firstLine="720"/>
        <w:jc w:val="both"/>
      </w:pPr>
      <w:r>
        <w:t xml:space="preserve">Since </w:t>
      </w:r>
      <w:r w:rsidRPr="007D47D4">
        <w:t>the 1920s, firms and analysts have been using the DuPont analysis which decomposes a firm’s Return on Equity (ROE) into key components: profit margin measuring profitability, asset turnover assessing operational efficiency, and the equity multiplier indicating financial leverage. However, the U.S. economy has changed tremendously since the industrial 1920s. In the current technological business environment, many firms have more intangible assets which are crucial to generating sales and profits. The ROE we currently teach in finance classes fails to incorporate these assets which are typically valued in the market, but not on corporate balance sheets. This traditional DuPont analysis also does not reflect other classroom teaching that finance students should focus on market values versus book values.</w:t>
      </w:r>
    </w:p>
    <w:p w14:paraId="7DED05FC" w14:textId="1C08BEEB" w:rsidR="008C41DC" w:rsidRDefault="008C41DC" w:rsidP="00887B3F">
      <w:pPr>
        <w:ind w:firstLine="720"/>
        <w:jc w:val="both"/>
      </w:pPr>
      <w:r>
        <w:t xml:space="preserve">However the </w:t>
      </w:r>
      <w:r w:rsidRPr="007D47D4">
        <w:t>U.S. economy has changed tremendously since the industrial 1920s. In the current technological business environment, many firms have more intangible assets which are crucial to generating sales and profits. The ROE we currently teach in finance classes fails to incorporate these assets which are typically valued in the market, but not on corporate balance sheets. This traditional DuPont analysis also does not reflect other classroom teaching that finance students should focus on market values versus book values</w:t>
      </w:r>
    </w:p>
    <w:p w14:paraId="1690EC94" w14:textId="496A8A59" w:rsidR="008C41DC" w:rsidRDefault="00887B3F" w:rsidP="00887B3F">
      <w:pPr>
        <w:ind w:firstLine="720"/>
        <w:jc w:val="both"/>
      </w:pPr>
      <w:r>
        <w:lastRenderedPageBreak/>
        <w:t xml:space="preserve">To </w:t>
      </w:r>
      <w:r w:rsidRPr="007D47D4">
        <w:t>correct these issues, we propose a new measure of profitability: Return on Market Equity (ROME), the ratio of net income to market equity rather than book equity. This new measure explicitly accounts for the valuable intangible assets that add to a firm’s bottom line. The DuPont Analysis can easily be extended to the ROME measure by adding a fourth component, a firm’s book-to-market ratio. The intuition behind the use of market value of equity in the denominator of the book-to-market ratio is that the market more efficiently incorporates information about a firm’s future earnings potential arising due to intangibles that do not necessarily appear on accounting books, such as new patents or approvals for drug firms, the hiring of a top CEO, or a technological advancement.  Consequently, the book-to-market ratio is often used in financial literature as a proxy for the growth opportunities of a firm, since it reflects valuable information that may not be incorporated in financial statements.</w:t>
      </w:r>
    </w:p>
    <w:p w14:paraId="08B73E3C" w14:textId="2C8F5119" w:rsidR="00076321" w:rsidRPr="007D47D4" w:rsidRDefault="00076321" w:rsidP="00FB05CD">
      <w:pPr>
        <w:widowControl w:val="0"/>
        <w:ind w:firstLine="720"/>
        <w:contextualSpacing/>
        <w:jc w:val="both"/>
      </w:pPr>
      <w:r w:rsidRPr="007D47D4">
        <w:t xml:space="preserve">The literature has acknowledged for a long time that intangible assets are an important component of a firm that can be overlooked by investors and traditional performance measures. Chan, </w:t>
      </w:r>
      <w:proofErr w:type="spellStart"/>
      <w:r w:rsidRPr="007D47D4">
        <w:t>Lakonsihok</w:t>
      </w:r>
      <w:proofErr w:type="spellEnd"/>
      <w:r w:rsidRPr="007D47D4">
        <w:t xml:space="preserve">, and </w:t>
      </w:r>
      <w:proofErr w:type="spellStart"/>
      <w:r w:rsidRPr="007D47D4">
        <w:t>Sougiannis</w:t>
      </w:r>
      <w:proofErr w:type="spellEnd"/>
      <w:r w:rsidRPr="007D47D4">
        <w:t xml:space="preserve"> (2001) find companies with a large amount of intangible assets earn large excess returns. Barth, </w:t>
      </w:r>
      <w:proofErr w:type="spellStart"/>
      <w:r w:rsidRPr="007D47D4">
        <w:t>Kasznik</w:t>
      </w:r>
      <w:proofErr w:type="spellEnd"/>
      <w:r w:rsidRPr="007D47D4">
        <w:t xml:space="preserve">, and </w:t>
      </w:r>
      <w:proofErr w:type="spellStart"/>
      <w:r w:rsidRPr="007D47D4">
        <w:t>McNichols</w:t>
      </w:r>
      <w:proofErr w:type="spellEnd"/>
      <w:r w:rsidRPr="007D47D4">
        <w:t xml:space="preserve"> (2001) find that firms with a large amount of intangible assets experience more analyst coverage than other firms.  More recently, </w:t>
      </w:r>
      <w:proofErr w:type="spellStart"/>
      <w:r w:rsidRPr="007D47D4">
        <w:t>Elbannan</w:t>
      </w:r>
      <w:proofErr w:type="spellEnd"/>
      <w:r w:rsidRPr="007D47D4">
        <w:t xml:space="preserve"> (2013) highlights </w:t>
      </w:r>
      <w:r w:rsidR="000117CE" w:rsidRPr="007D47D4">
        <w:t xml:space="preserve">the importance of </w:t>
      </w:r>
      <w:r w:rsidRPr="007D47D4">
        <w:t>valuing intangible assets as we have</w:t>
      </w:r>
      <w:r w:rsidR="000117CE" w:rsidRPr="007D47D4">
        <w:t xml:space="preserve"> seen</w:t>
      </w:r>
      <w:r w:rsidRPr="007D47D4">
        <w:t xml:space="preserve"> the rise in their use by firms in recent years</w:t>
      </w:r>
      <w:r w:rsidR="000B7855" w:rsidRPr="007D47D4">
        <w:t>; h</w:t>
      </w:r>
      <w:r w:rsidRPr="007D47D4">
        <w:t>e confirms that analysts continue to have incentive to follow firms with higher intangible assets. Daniel and Titman (2006) find that future performance of stock returns depends heavily on the “intangible” return component</w:t>
      </w:r>
      <w:r w:rsidR="000B7855" w:rsidRPr="007D47D4">
        <w:t>; f</w:t>
      </w:r>
      <w:r w:rsidRPr="007D47D4">
        <w:t xml:space="preserve">urther </w:t>
      </w:r>
      <w:r w:rsidR="004361F7" w:rsidRPr="007D47D4">
        <w:t xml:space="preserve">more </w:t>
      </w:r>
      <w:r w:rsidRPr="007D47D4">
        <w:t>they find that the book-to-market ratio forecasts future returns well because it is a good proxy for the intangible return</w:t>
      </w:r>
      <w:r w:rsidR="000B7855" w:rsidRPr="007D47D4">
        <w:t xml:space="preserve">.  These findings </w:t>
      </w:r>
      <w:r w:rsidRPr="007D47D4">
        <w:t>provide ample motivation as to why the book-to-market ratio should be included in the DuPont Analysis</w:t>
      </w:r>
      <w:r w:rsidR="000B7855" w:rsidRPr="007D47D4">
        <w:t>,</w:t>
      </w:r>
      <w:r w:rsidRPr="007D47D4">
        <w:t xml:space="preserve"> and is our proxy for intangible assets. </w:t>
      </w:r>
      <w:r w:rsidR="000B7855" w:rsidRPr="007D47D4">
        <w:t>A</w:t>
      </w:r>
      <w:r w:rsidRPr="007D47D4">
        <w:t xml:space="preserve"> </w:t>
      </w:r>
      <w:r w:rsidR="00B20E02" w:rsidRPr="007D47D4">
        <w:t xml:space="preserve">meaningful </w:t>
      </w:r>
      <w:r w:rsidRPr="007D47D4">
        <w:t>DuPont analysis</w:t>
      </w:r>
      <w:r w:rsidR="00B20E02" w:rsidRPr="007D47D4">
        <w:t xml:space="preserve"> that </w:t>
      </w:r>
      <w:r w:rsidR="000B7855" w:rsidRPr="007D47D4">
        <w:t>hop</w:t>
      </w:r>
      <w:r w:rsidR="00B20E02" w:rsidRPr="007D47D4">
        <w:t>es</w:t>
      </w:r>
      <w:r w:rsidR="000B7855" w:rsidRPr="007D47D4">
        <w:t xml:space="preserve"> </w:t>
      </w:r>
      <w:r w:rsidRPr="007D47D4">
        <w:t xml:space="preserve">to provide analysts and investors with </w:t>
      </w:r>
      <w:r w:rsidR="000B7855" w:rsidRPr="007D47D4">
        <w:t xml:space="preserve">important </w:t>
      </w:r>
      <w:r w:rsidRPr="007D47D4">
        <w:t xml:space="preserve">information about a firm’s future performance is </w:t>
      </w:r>
      <w:r w:rsidR="00B20E02" w:rsidRPr="007D47D4">
        <w:t xml:space="preserve">thus </w:t>
      </w:r>
      <w:r w:rsidRPr="007D47D4">
        <w:t xml:space="preserve">missing </w:t>
      </w:r>
      <w:r w:rsidR="000B7855" w:rsidRPr="007D47D4">
        <w:t>a</w:t>
      </w:r>
      <w:r w:rsidRPr="007D47D4">
        <w:t xml:space="preserve"> crucial component </w:t>
      </w:r>
      <w:r w:rsidR="000B7855" w:rsidRPr="007D47D4">
        <w:t>for firms with high levels of</w:t>
      </w:r>
      <w:r w:rsidRPr="007D47D4">
        <w:t xml:space="preserve"> intangible </w:t>
      </w:r>
      <w:r w:rsidR="000B7855" w:rsidRPr="007D47D4">
        <w:t>assets</w:t>
      </w:r>
      <w:r w:rsidRPr="007D47D4">
        <w:t>.</w:t>
      </w:r>
    </w:p>
    <w:p w14:paraId="78DB30AD" w14:textId="4B504DC6" w:rsidR="00BE7922" w:rsidRPr="007D47D4" w:rsidRDefault="00076321" w:rsidP="00FB05CD">
      <w:pPr>
        <w:widowControl w:val="0"/>
        <w:ind w:firstLine="720"/>
        <w:contextualSpacing/>
        <w:jc w:val="both"/>
      </w:pPr>
      <w:r w:rsidRPr="007D47D4">
        <w:t xml:space="preserve">Extant literature also recognizes the limitations of the existing measure of ROE and the current DuPont Analysis. Sur, </w:t>
      </w:r>
      <w:proofErr w:type="spellStart"/>
      <w:r w:rsidRPr="007D47D4">
        <w:t>Mitra</w:t>
      </w:r>
      <w:proofErr w:type="spellEnd"/>
      <w:r w:rsidRPr="007D47D4">
        <w:t xml:space="preserve">, and </w:t>
      </w:r>
      <w:proofErr w:type="spellStart"/>
      <w:r w:rsidRPr="007D47D4">
        <w:t>Maji</w:t>
      </w:r>
      <w:proofErr w:type="spellEnd"/>
      <w:r w:rsidRPr="007D47D4">
        <w:t xml:space="preserve"> (2014) propose adding two additional components to the existing DuPont formula to capture the impact of additional firm characteristic important to accountant, namely the interest burden ratio and the tax burden ratio. Chang, </w:t>
      </w:r>
      <w:proofErr w:type="spellStart"/>
      <w:r w:rsidRPr="007D47D4">
        <w:t>Chichernea</w:t>
      </w:r>
      <w:proofErr w:type="spellEnd"/>
      <w:r w:rsidRPr="007D47D4">
        <w:t xml:space="preserve">, and </w:t>
      </w:r>
      <w:proofErr w:type="spellStart"/>
      <w:r w:rsidRPr="007D47D4">
        <w:t>HassabElnaby</w:t>
      </w:r>
      <w:proofErr w:type="spellEnd"/>
      <w:r w:rsidRPr="007D47D4">
        <w:t xml:space="preserve"> (2014) find </w:t>
      </w:r>
      <w:r w:rsidR="00C96C4C" w:rsidRPr="007D47D4">
        <w:t xml:space="preserve">that </w:t>
      </w:r>
      <w:r w:rsidRPr="007D47D4">
        <w:t xml:space="preserve">the </w:t>
      </w:r>
      <w:proofErr w:type="spellStart"/>
      <w:r w:rsidRPr="007D47D4">
        <w:t>informativeness</w:t>
      </w:r>
      <w:proofErr w:type="spellEnd"/>
      <w:r w:rsidRPr="007D47D4">
        <w:t xml:space="preserve"> of the DuPont component</w:t>
      </w:r>
      <w:r w:rsidR="008B5944" w:rsidRPr="007D47D4">
        <w:t>s about future profitability is</w:t>
      </w:r>
      <w:r w:rsidRPr="007D47D4">
        <w:t xml:space="preserve"> reduced in the healthcare setting. Since the healthcare industry is one with a notoriously large amount of intangible assets, their findings provide additional evidence of the need to incorporate intangible assets into performance measures and the DuPont Analysis.</w:t>
      </w:r>
    </w:p>
    <w:p w14:paraId="0BE7557C" w14:textId="52818C98" w:rsidR="00A26AE1" w:rsidRPr="007D47D4" w:rsidRDefault="00BE7922" w:rsidP="00FB05CD">
      <w:pPr>
        <w:widowControl w:val="0"/>
        <w:ind w:firstLine="720"/>
        <w:contextualSpacing/>
        <w:jc w:val="both"/>
      </w:pPr>
      <w:r w:rsidRPr="007D47D4">
        <w:t xml:space="preserve">In addition to academic papers which find a weak link between ROE and current stock prices, the financial media has also noted that ROE is not a good predictor of future stock prices. </w:t>
      </w:r>
      <w:r w:rsidR="00076321" w:rsidRPr="007D47D4">
        <w:t xml:space="preserve"> </w:t>
      </w:r>
      <w:r w:rsidRPr="007D47D4">
        <w:t>A 2013 Forbes article identifies that ROE is only a good measure of future profitability for firms in the top and bottom quintiles when firms are sorted by ROE, meaning that for the majority of firms in the middle quintiles, there was no direct correlation between ROE and stock performance</w:t>
      </w:r>
      <w:r w:rsidR="00A26AE1" w:rsidRPr="007D47D4">
        <w:t>.</w:t>
      </w:r>
      <w:r w:rsidR="00902439" w:rsidRPr="00902439">
        <w:rPr>
          <w:vertAlign w:val="superscript"/>
        </w:rPr>
        <w:t>1</w:t>
      </w:r>
      <w:r w:rsidR="00A26AE1" w:rsidRPr="007D47D4">
        <w:t xml:space="preserve"> The article elaborates that one of the limitations of ROE is that it lacks comparability across industries, which is why we examine the differences in ROE and the new ROME across industries. A 2010 Harvard Business Review Case also notes the potential pitfalls of ROE noting that c</w:t>
      </w:r>
      <w:r w:rsidR="00A26AE1" w:rsidRPr="007D47D4">
        <w:rPr>
          <w:color w:val="222222"/>
        </w:rPr>
        <w:t>ompanies manipulate accounting values to artificially maintain a healthy ROE and hide performance issues in business fundamentals. The case also points out a firm can employ leverage and stock buybacks funded through accumulated cash to help to maintain a company’s ROE in spite of decreasing operational profitability.</w:t>
      </w:r>
      <w:r w:rsidR="00902439">
        <w:rPr>
          <w:vertAlign w:val="superscript"/>
        </w:rPr>
        <w:t>2</w:t>
      </w:r>
    </w:p>
    <w:p w14:paraId="44C73A9B" w14:textId="1FD83585" w:rsidR="00D23141" w:rsidRPr="007D47D4" w:rsidRDefault="00662996" w:rsidP="00FB05CD">
      <w:pPr>
        <w:widowControl w:val="0"/>
        <w:ind w:firstLine="720"/>
        <w:contextualSpacing/>
        <w:jc w:val="both"/>
      </w:pPr>
      <w:r w:rsidRPr="007D47D4">
        <w:lastRenderedPageBreak/>
        <w:t xml:space="preserve">To fully </w:t>
      </w:r>
      <w:r w:rsidR="007B55D8" w:rsidRPr="007D47D4">
        <w:t xml:space="preserve">examine </w:t>
      </w:r>
      <w:r w:rsidRPr="007D47D4">
        <w:t>the merits of our new measure</w:t>
      </w:r>
      <w:r w:rsidR="007B55D8" w:rsidRPr="007D47D4">
        <w:t>,</w:t>
      </w:r>
      <w:r w:rsidRPr="007D47D4">
        <w:t xml:space="preserve"> we present the following in the remainder of this paper. First we provide a detailed description of the new measure decomposed via DuPont Analysis and discuss the importance of the addition of </w:t>
      </w:r>
      <w:r w:rsidR="00072291" w:rsidRPr="007D47D4">
        <w:t xml:space="preserve">the </w:t>
      </w:r>
      <w:r w:rsidR="00076321" w:rsidRPr="007D47D4">
        <w:t>book-to-market</w:t>
      </w:r>
      <w:r w:rsidR="00072291" w:rsidRPr="007D47D4">
        <w:t xml:space="preserve"> ratio</w:t>
      </w:r>
      <w:r w:rsidRPr="007D47D4">
        <w:t xml:space="preserve">. </w:t>
      </w:r>
      <w:r w:rsidR="00FB70B3" w:rsidRPr="007D47D4">
        <w:t xml:space="preserve">Next </w:t>
      </w:r>
      <w:r w:rsidRPr="007D47D4">
        <w:t>we</w:t>
      </w:r>
      <w:r w:rsidR="00FB70B3" w:rsidRPr="007D47D4">
        <w:t xml:space="preserve"> illustrate</w:t>
      </w:r>
      <w:r w:rsidRPr="007D47D4">
        <w:t xml:space="preserve"> the</w:t>
      </w:r>
      <w:r w:rsidR="00FB70B3" w:rsidRPr="007D47D4">
        <w:t xml:space="preserve"> differences between ROE and the new ROME</w:t>
      </w:r>
      <w:r w:rsidRPr="007D47D4">
        <w:t xml:space="preserve"> </w:t>
      </w:r>
      <w:r w:rsidR="00962AF6" w:rsidRPr="007D47D4">
        <w:t xml:space="preserve">and the </w:t>
      </w:r>
      <w:r w:rsidRPr="007D47D4">
        <w:t>importance of this model through illustrations of traditional ROE and the new ROM</w:t>
      </w:r>
      <w:r w:rsidR="00FB70B3" w:rsidRPr="007D47D4">
        <w:t xml:space="preserve">E measure for a </w:t>
      </w:r>
      <w:r w:rsidR="00072291" w:rsidRPr="007D47D4">
        <w:t>few select</w:t>
      </w:r>
      <w:r w:rsidR="00FB70B3" w:rsidRPr="007D47D4">
        <w:t xml:space="preserve"> firm</w:t>
      </w:r>
      <w:r w:rsidR="001A33CE" w:rsidRPr="007D47D4">
        <w:t>s</w:t>
      </w:r>
      <w:r w:rsidRPr="007D47D4">
        <w:t>.</w:t>
      </w:r>
      <w:r w:rsidR="00FB70B3" w:rsidRPr="007D47D4">
        <w:t xml:space="preserve"> Finally we </w:t>
      </w:r>
      <w:r w:rsidR="00962AF6" w:rsidRPr="007D47D4">
        <w:t>evaluate</w:t>
      </w:r>
      <w:r w:rsidR="00FB70B3" w:rsidRPr="007D47D4">
        <w:t xml:space="preserve"> the differences between ROE and ROME for a variety of industries.</w:t>
      </w:r>
    </w:p>
    <w:p w14:paraId="2A202DDE" w14:textId="77777777" w:rsidR="00FB70B3" w:rsidRPr="007D47D4" w:rsidRDefault="00FB70B3" w:rsidP="00FB05CD">
      <w:pPr>
        <w:widowControl w:val="0"/>
        <w:contextualSpacing/>
        <w:jc w:val="both"/>
      </w:pPr>
    </w:p>
    <w:p w14:paraId="2F8C6428" w14:textId="77777777" w:rsidR="00D23141" w:rsidRPr="007D47D4" w:rsidRDefault="00D23141" w:rsidP="00FB05CD">
      <w:pPr>
        <w:widowControl w:val="0"/>
        <w:contextualSpacing/>
        <w:jc w:val="both"/>
        <w:rPr>
          <w:bCs/>
          <w:kern w:val="32"/>
        </w:rPr>
      </w:pPr>
      <w:r w:rsidRPr="007D47D4">
        <w:rPr>
          <w:b/>
          <w:bCs/>
          <w:kern w:val="32"/>
        </w:rPr>
        <w:t>T</w:t>
      </w:r>
      <w:r w:rsidR="00D7537C" w:rsidRPr="007D47D4">
        <w:rPr>
          <w:b/>
          <w:bCs/>
          <w:kern w:val="32"/>
        </w:rPr>
        <w:t xml:space="preserve">HE NEW ROME </w:t>
      </w:r>
      <w:r w:rsidR="00E2293A" w:rsidRPr="007D47D4">
        <w:rPr>
          <w:bCs/>
          <w:kern w:val="32"/>
        </w:rPr>
        <w:t xml:space="preserve"> </w:t>
      </w:r>
      <w:r w:rsidR="00E2293A" w:rsidRPr="007D47D4">
        <w:rPr>
          <w:bCs/>
          <w:kern w:val="32"/>
        </w:rPr>
        <w:tab/>
      </w:r>
    </w:p>
    <w:p w14:paraId="4489FA65" w14:textId="77777777" w:rsidR="00A26AE1" w:rsidRDefault="00A26AE1" w:rsidP="00FB05CD">
      <w:pPr>
        <w:widowControl w:val="0"/>
        <w:ind w:firstLine="720"/>
        <w:contextualSpacing/>
        <w:jc w:val="both"/>
        <w:rPr>
          <w:bCs/>
          <w:kern w:val="32"/>
        </w:rPr>
      </w:pPr>
    </w:p>
    <w:p w14:paraId="37EB2973" w14:textId="3799F56C" w:rsidR="00D23141" w:rsidRPr="007D47D4" w:rsidRDefault="00E2293A" w:rsidP="00FB05CD">
      <w:pPr>
        <w:widowControl w:val="0"/>
        <w:ind w:firstLine="720"/>
        <w:contextualSpacing/>
        <w:jc w:val="both"/>
        <w:rPr>
          <w:bCs/>
          <w:kern w:val="32"/>
        </w:rPr>
      </w:pPr>
      <w:r w:rsidRPr="007D47D4">
        <w:rPr>
          <w:bCs/>
          <w:kern w:val="32"/>
        </w:rPr>
        <w:t xml:space="preserve">ROE is designed to measure how well a firm can utilize its investments to generate earnings. The numerator of this ratio contains net income, and the denominator is the book value for stockholders’ equity of the firm. </w:t>
      </w:r>
      <w:r w:rsidR="00237F7E" w:rsidRPr="007D47D4">
        <w:rPr>
          <w:bCs/>
          <w:kern w:val="32"/>
        </w:rPr>
        <w:t xml:space="preserve">However </w:t>
      </w:r>
      <w:r w:rsidRPr="007D47D4">
        <w:rPr>
          <w:bCs/>
          <w:kern w:val="32"/>
        </w:rPr>
        <w:t>as finance academics and practitioners</w:t>
      </w:r>
      <w:r w:rsidR="006F7ED3" w:rsidRPr="007D47D4">
        <w:rPr>
          <w:bCs/>
          <w:kern w:val="32"/>
        </w:rPr>
        <w:t>,</w:t>
      </w:r>
      <w:r w:rsidRPr="007D47D4">
        <w:rPr>
          <w:bCs/>
          <w:kern w:val="32"/>
        </w:rPr>
        <w:t xml:space="preserve"> </w:t>
      </w:r>
      <w:r w:rsidR="00237F7E" w:rsidRPr="007D47D4">
        <w:rPr>
          <w:bCs/>
          <w:kern w:val="32"/>
        </w:rPr>
        <w:t xml:space="preserve">we know </w:t>
      </w:r>
      <w:r w:rsidRPr="007D47D4">
        <w:rPr>
          <w:bCs/>
          <w:kern w:val="32"/>
        </w:rPr>
        <w:t>market value of equity, the product of current market share price and shares outstanding</w:t>
      </w:r>
      <w:r w:rsidR="00237F7E" w:rsidRPr="007D47D4">
        <w:rPr>
          <w:bCs/>
          <w:kern w:val="32"/>
        </w:rPr>
        <w:t>, matters more to investors</w:t>
      </w:r>
      <w:r w:rsidR="00962AF6" w:rsidRPr="007D47D4">
        <w:rPr>
          <w:bCs/>
          <w:kern w:val="32"/>
        </w:rPr>
        <w:t xml:space="preserve"> than accounting book value</w:t>
      </w:r>
      <w:r w:rsidRPr="007D47D4">
        <w:rPr>
          <w:bCs/>
          <w:kern w:val="32"/>
        </w:rPr>
        <w:t>.</w:t>
      </w:r>
      <w:r w:rsidR="009E549F" w:rsidRPr="007D47D4">
        <w:rPr>
          <w:bCs/>
          <w:kern w:val="32"/>
        </w:rPr>
        <w:t xml:space="preserve"> </w:t>
      </w:r>
      <w:r w:rsidRPr="007D47D4">
        <w:rPr>
          <w:bCs/>
          <w:kern w:val="32"/>
        </w:rPr>
        <w:t>Given this knowledge we propose a new measure</w:t>
      </w:r>
      <w:r w:rsidR="006F7ED3" w:rsidRPr="007D47D4">
        <w:rPr>
          <w:bCs/>
          <w:kern w:val="32"/>
        </w:rPr>
        <w:t>,</w:t>
      </w:r>
      <w:r w:rsidRPr="007D47D4">
        <w:rPr>
          <w:bCs/>
          <w:kern w:val="32"/>
        </w:rPr>
        <w:t xml:space="preserve"> Return on Market Equity (ROME)</w:t>
      </w:r>
      <w:r w:rsidR="006F7ED3" w:rsidRPr="007D47D4">
        <w:rPr>
          <w:bCs/>
          <w:kern w:val="32"/>
        </w:rPr>
        <w:t>,</w:t>
      </w:r>
      <w:r w:rsidRPr="007D47D4">
        <w:rPr>
          <w:bCs/>
          <w:kern w:val="32"/>
        </w:rPr>
        <w:t xml:space="preserve"> which has the market value of equity in the denominator instead of book value of equity. </w:t>
      </w:r>
      <w:r w:rsidR="00837BDF" w:rsidRPr="007D47D4">
        <w:rPr>
          <w:bCs/>
          <w:kern w:val="32"/>
        </w:rPr>
        <w:t>This ROME measure ties more closely to what we teach in finance</w:t>
      </w:r>
      <w:r w:rsidR="00237F7E" w:rsidRPr="007D47D4">
        <w:rPr>
          <w:bCs/>
          <w:kern w:val="32"/>
        </w:rPr>
        <w:t xml:space="preserve"> classes</w:t>
      </w:r>
      <w:r w:rsidR="00837BDF" w:rsidRPr="007D47D4">
        <w:rPr>
          <w:bCs/>
          <w:kern w:val="32"/>
        </w:rPr>
        <w:t xml:space="preserve">: </w:t>
      </w:r>
      <w:r w:rsidR="009E549F" w:rsidRPr="007D47D4">
        <w:rPr>
          <w:bCs/>
          <w:kern w:val="32"/>
        </w:rPr>
        <w:t xml:space="preserve">that </w:t>
      </w:r>
      <w:r w:rsidR="00837BDF" w:rsidRPr="007D47D4">
        <w:rPr>
          <w:bCs/>
          <w:kern w:val="32"/>
        </w:rPr>
        <w:t xml:space="preserve">market value matters </w:t>
      </w:r>
      <w:r w:rsidR="009E549F" w:rsidRPr="007D47D4">
        <w:rPr>
          <w:bCs/>
          <w:kern w:val="32"/>
        </w:rPr>
        <w:t xml:space="preserve">more than </w:t>
      </w:r>
      <w:r w:rsidR="00837BDF" w:rsidRPr="007D47D4">
        <w:rPr>
          <w:bCs/>
          <w:kern w:val="32"/>
        </w:rPr>
        <w:t>book value.</w:t>
      </w:r>
    </w:p>
    <w:p w14:paraId="53A1EF3A" w14:textId="77777777" w:rsidR="00FB70B3" w:rsidRPr="007D47D4" w:rsidRDefault="00FB70B3" w:rsidP="00FB05CD">
      <w:pPr>
        <w:keepNext/>
        <w:keepLines/>
        <w:ind w:firstLine="720"/>
        <w:jc w:val="both"/>
        <w:outlineLvl w:val="0"/>
        <w:rPr>
          <w:bCs/>
          <w:kern w:val="32"/>
        </w:rPr>
      </w:pPr>
      <w:r w:rsidRPr="007D47D4">
        <w:rPr>
          <w:bCs/>
          <w:kern w:val="32"/>
        </w:rPr>
        <w:t>The traditional DuPont Analysis decomposes ROE into Profit Margin, Asset Turnover and Financial Leverage:</w:t>
      </w:r>
    </w:p>
    <w:p w14:paraId="066364BB" w14:textId="77777777" w:rsidR="00FB70B3" w:rsidRPr="007D47D4" w:rsidRDefault="00FB70B3" w:rsidP="00FB05CD">
      <w:pPr>
        <w:widowControl w:val="0"/>
        <w:ind w:left="2160" w:firstLine="720"/>
        <w:contextualSpacing/>
        <w:jc w:val="both"/>
        <w:rPr>
          <w:bCs/>
          <w:kern w:val="32"/>
        </w:rPr>
      </w:pPr>
      <m:oMath>
        <m:r>
          <m:rPr>
            <m:nor/>
          </m:rPr>
          <w:rPr>
            <w:bCs/>
            <w:kern w:val="32"/>
          </w:rPr>
          <m:t xml:space="preserve">ROE = </m:t>
        </m:r>
        <m:f>
          <m:fPr>
            <m:ctrlPr>
              <w:rPr>
                <w:rFonts w:ascii="Cambria Math" w:hAnsi="Cambria Math"/>
                <w:bCs/>
                <w:i/>
                <w:kern w:val="32"/>
              </w:rPr>
            </m:ctrlPr>
          </m:fPr>
          <m:num>
            <m:r>
              <m:rPr>
                <m:nor/>
              </m:rPr>
              <w:rPr>
                <w:bCs/>
                <w:kern w:val="32"/>
              </w:rPr>
              <m:t>Net Income</m:t>
            </m:r>
          </m:num>
          <m:den>
            <m:r>
              <m:rPr>
                <m:nor/>
              </m:rPr>
              <w:rPr>
                <w:bCs/>
                <w:kern w:val="32"/>
              </w:rPr>
              <m:t>Sales</m:t>
            </m:r>
          </m:den>
        </m:f>
        <m:r>
          <m:rPr>
            <m:nor/>
          </m:rPr>
          <w:rPr>
            <w:bCs/>
            <w:kern w:val="32"/>
          </w:rPr>
          <m:t xml:space="preserve"> x </m:t>
        </m:r>
        <m:f>
          <m:fPr>
            <m:ctrlPr>
              <w:rPr>
                <w:rFonts w:ascii="Cambria Math" w:hAnsi="Cambria Math"/>
                <w:bCs/>
                <w:i/>
                <w:kern w:val="32"/>
              </w:rPr>
            </m:ctrlPr>
          </m:fPr>
          <m:num>
            <m:r>
              <m:rPr>
                <m:nor/>
              </m:rPr>
              <w:rPr>
                <w:bCs/>
                <w:kern w:val="32"/>
              </w:rPr>
              <m:t>Sales</m:t>
            </m:r>
          </m:num>
          <m:den>
            <m:r>
              <m:rPr>
                <m:nor/>
              </m:rPr>
              <w:rPr>
                <w:bCs/>
                <w:kern w:val="32"/>
              </w:rPr>
              <m:t>Assets</m:t>
            </m:r>
          </m:den>
        </m:f>
        <m:r>
          <m:rPr>
            <m:nor/>
          </m:rPr>
          <w:rPr>
            <w:bCs/>
            <w:kern w:val="32"/>
          </w:rPr>
          <m:t xml:space="preserve"> x </m:t>
        </m:r>
        <m:f>
          <m:fPr>
            <m:ctrlPr>
              <w:rPr>
                <w:rFonts w:ascii="Cambria Math" w:hAnsi="Cambria Math"/>
                <w:bCs/>
                <w:i/>
                <w:kern w:val="32"/>
              </w:rPr>
            </m:ctrlPr>
          </m:fPr>
          <m:num>
            <m:r>
              <m:rPr>
                <m:nor/>
              </m:rPr>
              <w:rPr>
                <w:bCs/>
                <w:kern w:val="32"/>
              </w:rPr>
              <m:t>Assets</m:t>
            </m:r>
          </m:num>
          <m:den>
            <m:r>
              <m:rPr>
                <m:nor/>
              </m:rPr>
              <w:rPr>
                <w:bCs/>
                <w:kern w:val="32"/>
              </w:rPr>
              <m:t>Book Equity</m:t>
            </m:r>
          </m:den>
        </m:f>
      </m:oMath>
      <w:r w:rsidRPr="007D47D4">
        <w:rPr>
          <w:bCs/>
          <w:kern w:val="32"/>
        </w:rPr>
        <w:t xml:space="preserve">                                  (1)</w:t>
      </w:r>
    </w:p>
    <w:p w14:paraId="179188D1" w14:textId="77777777" w:rsidR="00A26AE1" w:rsidRDefault="00A26AE1" w:rsidP="00FB05CD">
      <w:pPr>
        <w:widowControl w:val="0"/>
        <w:ind w:firstLine="720"/>
        <w:contextualSpacing/>
        <w:jc w:val="both"/>
        <w:rPr>
          <w:bCs/>
          <w:kern w:val="32"/>
        </w:rPr>
      </w:pPr>
    </w:p>
    <w:p w14:paraId="2E1C198D" w14:textId="77777777" w:rsidR="00FB70B3" w:rsidRPr="007D47D4" w:rsidRDefault="007C078E" w:rsidP="00FB05CD">
      <w:pPr>
        <w:widowControl w:val="0"/>
        <w:ind w:firstLine="720"/>
        <w:contextualSpacing/>
        <w:jc w:val="both"/>
        <w:rPr>
          <w:bCs/>
          <w:kern w:val="32"/>
        </w:rPr>
      </w:pPr>
      <w:r w:rsidRPr="007D47D4">
        <w:rPr>
          <w:bCs/>
          <w:kern w:val="32"/>
        </w:rPr>
        <w:t>Most past studies by researchers and analysts extend the traditional DuPont ROE Analysis by adding additional ratios to focus on specific areas of company or industry performance.  For example, the following five-step extended DuPont version further decomposes Profit Margin into Tax Burden (the ratio of Net Income to Earnings before Taxes), Interest Burden (defined as the ratio of Earning Before Taxes to Earnings before Interest and Taxes), and Operating Income Margin (the ratio of EBIT to Sales):</w:t>
      </w:r>
    </w:p>
    <w:p w14:paraId="070CF1DF" w14:textId="77777777" w:rsidR="00FB70B3" w:rsidRPr="007D47D4" w:rsidRDefault="007C078E" w:rsidP="00FB05CD">
      <w:pPr>
        <w:widowControl w:val="0"/>
        <w:ind w:left="720" w:firstLine="720"/>
        <w:contextualSpacing/>
        <w:jc w:val="both"/>
        <w:rPr>
          <w:bCs/>
          <w:kern w:val="32"/>
        </w:rPr>
      </w:pPr>
      <m:oMath>
        <m:r>
          <m:rPr>
            <m:nor/>
          </m:rPr>
          <w:rPr>
            <w:bCs/>
            <w:kern w:val="32"/>
          </w:rPr>
          <m:t xml:space="preserve">ROE = </m:t>
        </m:r>
        <m:f>
          <m:fPr>
            <m:ctrlPr>
              <w:rPr>
                <w:rFonts w:ascii="Cambria Math" w:hAnsi="Cambria Math"/>
                <w:bCs/>
                <w:i/>
                <w:kern w:val="32"/>
              </w:rPr>
            </m:ctrlPr>
          </m:fPr>
          <m:num>
            <m:r>
              <m:rPr>
                <m:nor/>
              </m:rPr>
              <w:rPr>
                <w:bCs/>
                <w:kern w:val="32"/>
              </w:rPr>
              <m:t>Net Income</m:t>
            </m:r>
          </m:num>
          <m:den>
            <m:r>
              <m:rPr>
                <m:nor/>
              </m:rPr>
              <w:rPr>
                <w:bCs/>
                <w:kern w:val="32"/>
              </w:rPr>
              <m:t>EBT</m:t>
            </m:r>
          </m:den>
        </m:f>
        <m:r>
          <m:rPr>
            <m:nor/>
          </m:rPr>
          <w:rPr>
            <w:bCs/>
            <w:kern w:val="32"/>
          </w:rPr>
          <m:t xml:space="preserve"> x </m:t>
        </m:r>
        <m:f>
          <m:fPr>
            <m:ctrlPr>
              <w:rPr>
                <w:rFonts w:ascii="Cambria Math" w:hAnsi="Cambria Math"/>
                <w:bCs/>
                <w:i/>
                <w:kern w:val="32"/>
              </w:rPr>
            </m:ctrlPr>
          </m:fPr>
          <m:num>
            <m:r>
              <m:rPr>
                <m:nor/>
              </m:rPr>
              <w:rPr>
                <w:bCs/>
                <w:kern w:val="32"/>
              </w:rPr>
              <m:t>EBT</m:t>
            </m:r>
          </m:num>
          <m:den>
            <m:r>
              <m:rPr>
                <m:nor/>
              </m:rPr>
              <w:rPr>
                <w:bCs/>
                <w:kern w:val="32"/>
              </w:rPr>
              <m:t>EBIT</m:t>
            </m:r>
          </m:den>
        </m:f>
        <m:r>
          <m:rPr>
            <m:nor/>
          </m:rPr>
          <w:rPr>
            <w:bCs/>
            <w:kern w:val="32"/>
          </w:rPr>
          <m:t xml:space="preserve"> x </m:t>
        </m:r>
        <m:f>
          <m:fPr>
            <m:ctrlPr>
              <w:rPr>
                <w:rFonts w:ascii="Cambria Math" w:hAnsi="Cambria Math"/>
                <w:bCs/>
                <w:i/>
                <w:kern w:val="32"/>
              </w:rPr>
            </m:ctrlPr>
          </m:fPr>
          <m:num>
            <m:r>
              <m:rPr>
                <m:nor/>
              </m:rPr>
              <w:rPr>
                <w:bCs/>
                <w:kern w:val="32"/>
              </w:rPr>
              <m:t>EBIT</m:t>
            </m:r>
          </m:num>
          <m:den>
            <m:r>
              <m:rPr>
                <m:nor/>
              </m:rPr>
              <w:rPr>
                <w:bCs/>
                <w:kern w:val="32"/>
              </w:rPr>
              <m:t>Sales</m:t>
            </m:r>
          </m:den>
        </m:f>
        <m:r>
          <m:rPr>
            <m:nor/>
          </m:rPr>
          <w:rPr>
            <w:bCs/>
            <w:kern w:val="32"/>
          </w:rPr>
          <m:t xml:space="preserve"> x </m:t>
        </m:r>
        <m:f>
          <m:fPr>
            <m:ctrlPr>
              <w:rPr>
                <w:rFonts w:ascii="Cambria Math" w:hAnsi="Cambria Math"/>
                <w:bCs/>
                <w:i/>
                <w:kern w:val="32"/>
              </w:rPr>
            </m:ctrlPr>
          </m:fPr>
          <m:num>
            <m:r>
              <m:rPr>
                <m:nor/>
              </m:rPr>
              <w:rPr>
                <w:bCs/>
                <w:kern w:val="32"/>
              </w:rPr>
              <m:t>Sales</m:t>
            </m:r>
          </m:num>
          <m:den>
            <m:r>
              <m:rPr>
                <m:nor/>
              </m:rPr>
              <w:rPr>
                <w:bCs/>
                <w:kern w:val="32"/>
              </w:rPr>
              <m:t>Assets</m:t>
            </m:r>
          </m:den>
        </m:f>
        <m:r>
          <m:rPr>
            <m:nor/>
          </m:rPr>
          <w:rPr>
            <w:bCs/>
            <w:kern w:val="32"/>
          </w:rPr>
          <m:t xml:space="preserve"> x </m:t>
        </m:r>
        <m:f>
          <m:fPr>
            <m:ctrlPr>
              <w:rPr>
                <w:rFonts w:ascii="Cambria Math" w:hAnsi="Cambria Math"/>
                <w:bCs/>
                <w:i/>
                <w:kern w:val="32"/>
              </w:rPr>
            </m:ctrlPr>
          </m:fPr>
          <m:num>
            <m:r>
              <m:rPr>
                <m:nor/>
              </m:rPr>
              <w:rPr>
                <w:bCs/>
                <w:kern w:val="32"/>
              </w:rPr>
              <m:t>Assets</m:t>
            </m:r>
          </m:num>
          <m:den>
            <m:r>
              <m:rPr>
                <m:nor/>
              </m:rPr>
              <w:rPr>
                <w:bCs/>
                <w:kern w:val="32"/>
              </w:rPr>
              <m:t>Book Equity</m:t>
            </m:r>
          </m:den>
        </m:f>
      </m:oMath>
      <w:r w:rsidRPr="007D47D4">
        <w:rPr>
          <w:bCs/>
          <w:kern w:val="32"/>
        </w:rPr>
        <w:tab/>
      </w:r>
      <w:r w:rsidR="00FB70B3" w:rsidRPr="007D47D4">
        <w:rPr>
          <w:bCs/>
          <w:kern w:val="32"/>
        </w:rPr>
        <w:tab/>
      </w:r>
      <w:r w:rsidR="00FB70B3" w:rsidRPr="007D47D4">
        <w:rPr>
          <w:bCs/>
          <w:kern w:val="32"/>
        </w:rPr>
        <w:tab/>
      </w:r>
      <w:r w:rsidR="00FB70B3" w:rsidRPr="007D47D4">
        <w:rPr>
          <w:bCs/>
          <w:kern w:val="32"/>
        </w:rPr>
        <w:tab/>
      </w:r>
      <w:r w:rsidRPr="007D47D4">
        <w:rPr>
          <w:bCs/>
          <w:kern w:val="32"/>
        </w:rPr>
        <w:t>(2)</w:t>
      </w:r>
    </w:p>
    <w:p w14:paraId="453A7485" w14:textId="77777777" w:rsidR="00A26AE1" w:rsidRDefault="00A26AE1" w:rsidP="00FB05CD">
      <w:pPr>
        <w:widowControl w:val="0"/>
        <w:ind w:firstLine="720"/>
        <w:contextualSpacing/>
        <w:jc w:val="both"/>
        <w:rPr>
          <w:bCs/>
          <w:kern w:val="32"/>
        </w:rPr>
      </w:pPr>
    </w:p>
    <w:p w14:paraId="16A79B9B" w14:textId="5ED1624D" w:rsidR="00FB70B3" w:rsidRPr="007D47D4" w:rsidRDefault="007C078E" w:rsidP="00FB05CD">
      <w:pPr>
        <w:widowControl w:val="0"/>
        <w:ind w:firstLine="720"/>
        <w:contextualSpacing/>
        <w:jc w:val="both"/>
        <w:rPr>
          <w:bCs/>
          <w:kern w:val="32"/>
        </w:rPr>
      </w:pPr>
      <w:r w:rsidRPr="007D47D4">
        <w:rPr>
          <w:bCs/>
          <w:kern w:val="32"/>
        </w:rPr>
        <w:t>We instead propose extending the ROE definition itself to better reflect the dramatic changes</w:t>
      </w:r>
      <w:r w:rsidR="00962AF6" w:rsidRPr="007D47D4">
        <w:rPr>
          <w:bCs/>
          <w:kern w:val="32"/>
        </w:rPr>
        <w:t xml:space="preserve"> in</w:t>
      </w:r>
      <w:r w:rsidRPr="007D47D4">
        <w:rPr>
          <w:bCs/>
          <w:kern w:val="32"/>
        </w:rPr>
        <w:t xml:space="preserve"> the U</w:t>
      </w:r>
      <w:r w:rsidR="001A33CE" w:rsidRPr="007D47D4">
        <w:rPr>
          <w:bCs/>
          <w:kern w:val="32"/>
        </w:rPr>
        <w:t>.</w:t>
      </w:r>
      <w:r w:rsidRPr="007D47D4">
        <w:rPr>
          <w:bCs/>
          <w:kern w:val="32"/>
        </w:rPr>
        <w:t>S</w:t>
      </w:r>
      <w:r w:rsidR="001A33CE" w:rsidRPr="007D47D4">
        <w:rPr>
          <w:bCs/>
          <w:kern w:val="32"/>
        </w:rPr>
        <w:t>.</w:t>
      </w:r>
      <w:r w:rsidRPr="007D47D4">
        <w:rPr>
          <w:bCs/>
          <w:kern w:val="32"/>
        </w:rPr>
        <w:t xml:space="preserve"> and global economy, and instead propose using ROME which indicates actual return to stockholders. The DuPont Analysis can be applied to this new measure by adding the component </w:t>
      </w:r>
      <w:r w:rsidR="00962AF6" w:rsidRPr="007D47D4">
        <w:rPr>
          <w:bCs/>
          <w:kern w:val="32"/>
        </w:rPr>
        <w:t xml:space="preserve">of </w:t>
      </w:r>
      <w:r w:rsidRPr="007D47D4">
        <w:rPr>
          <w:bCs/>
          <w:kern w:val="32"/>
        </w:rPr>
        <w:t>the firm’s book-to-market ratio</w:t>
      </w:r>
      <w:r w:rsidR="00FB70B3" w:rsidRPr="007D47D4">
        <w:rPr>
          <w:bCs/>
          <w:kern w:val="32"/>
        </w:rPr>
        <w:t>.</w:t>
      </w:r>
    </w:p>
    <w:p w14:paraId="37094780" w14:textId="77777777" w:rsidR="00FB70B3" w:rsidRPr="007D47D4" w:rsidRDefault="007C078E" w:rsidP="00FB05CD">
      <w:pPr>
        <w:widowControl w:val="0"/>
        <w:ind w:firstLine="720"/>
        <w:contextualSpacing/>
        <w:jc w:val="both"/>
        <w:rPr>
          <w:bCs/>
          <w:kern w:val="32"/>
        </w:rPr>
      </w:pPr>
      <m:oMath>
        <m:r>
          <m:rPr>
            <m:nor/>
          </m:rPr>
          <w:rPr>
            <w:bCs/>
            <w:kern w:val="32"/>
          </w:rPr>
          <m:t xml:space="preserve">ROME = ROE x </m:t>
        </m:r>
        <m:f>
          <m:fPr>
            <m:ctrlPr>
              <w:rPr>
                <w:rFonts w:ascii="Cambria Math" w:hAnsi="Cambria Math"/>
                <w:bCs/>
                <w:i/>
                <w:kern w:val="32"/>
              </w:rPr>
            </m:ctrlPr>
          </m:fPr>
          <m:num>
            <m:r>
              <m:rPr>
                <m:nor/>
              </m:rPr>
              <w:rPr>
                <w:bCs/>
                <w:kern w:val="32"/>
              </w:rPr>
              <m:t>Book Equity</m:t>
            </m:r>
          </m:num>
          <m:den>
            <m:r>
              <m:rPr>
                <m:nor/>
              </m:rPr>
              <w:rPr>
                <w:bCs/>
                <w:kern w:val="32"/>
              </w:rPr>
              <m:t>Market Equity</m:t>
            </m:r>
          </m:den>
        </m:f>
        <m:r>
          <w:rPr>
            <w:rFonts w:ascii="Cambria Math" w:hAnsi="Cambria Math"/>
            <w:kern w:val="32"/>
          </w:rPr>
          <m:t>=</m:t>
        </m:r>
        <m:f>
          <m:fPr>
            <m:ctrlPr>
              <w:rPr>
                <w:rFonts w:ascii="Cambria Math" w:hAnsi="Cambria Math"/>
                <w:bCs/>
                <w:i/>
                <w:kern w:val="32"/>
              </w:rPr>
            </m:ctrlPr>
          </m:fPr>
          <m:num>
            <m:r>
              <m:rPr>
                <m:nor/>
              </m:rPr>
              <w:rPr>
                <w:bCs/>
                <w:kern w:val="32"/>
              </w:rPr>
              <m:t>Net Income</m:t>
            </m:r>
          </m:num>
          <m:den>
            <m:r>
              <m:rPr>
                <m:nor/>
              </m:rPr>
              <w:rPr>
                <w:bCs/>
                <w:kern w:val="32"/>
              </w:rPr>
              <m:t>Sales</m:t>
            </m:r>
          </m:den>
        </m:f>
        <m:r>
          <m:rPr>
            <m:nor/>
          </m:rPr>
          <w:rPr>
            <w:bCs/>
            <w:kern w:val="32"/>
          </w:rPr>
          <m:t xml:space="preserve"> x </m:t>
        </m:r>
        <m:f>
          <m:fPr>
            <m:ctrlPr>
              <w:rPr>
                <w:rFonts w:ascii="Cambria Math" w:hAnsi="Cambria Math"/>
                <w:bCs/>
                <w:i/>
                <w:kern w:val="32"/>
              </w:rPr>
            </m:ctrlPr>
          </m:fPr>
          <m:num>
            <m:r>
              <m:rPr>
                <m:nor/>
              </m:rPr>
              <w:rPr>
                <w:bCs/>
                <w:kern w:val="32"/>
              </w:rPr>
              <m:t>Sales</m:t>
            </m:r>
          </m:num>
          <m:den>
            <m:r>
              <m:rPr>
                <m:nor/>
              </m:rPr>
              <w:rPr>
                <w:bCs/>
                <w:kern w:val="32"/>
              </w:rPr>
              <m:t>Assets</m:t>
            </m:r>
          </m:den>
        </m:f>
        <m:r>
          <m:rPr>
            <m:nor/>
          </m:rPr>
          <w:rPr>
            <w:bCs/>
            <w:kern w:val="32"/>
          </w:rPr>
          <m:t xml:space="preserve"> x </m:t>
        </m:r>
        <m:f>
          <m:fPr>
            <m:ctrlPr>
              <w:rPr>
                <w:rFonts w:ascii="Cambria Math" w:hAnsi="Cambria Math"/>
                <w:bCs/>
                <w:i/>
                <w:kern w:val="32"/>
              </w:rPr>
            </m:ctrlPr>
          </m:fPr>
          <m:num>
            <m:r>
              <m:rPr>
                <m:nor/>
              </m:rPr>
              <w:rPr>
                <w:bCs/>
                <w:kern w:val="32"/>
              </w:rPr>
              <m:t>Assets</m:t>
            </m:r>
          </m:num>
          <m:den>
            <m:r>
              <m:rPr>
                <m:nor/>
              </m:rPr>
              <w:rPr>
                <w:bCs/>
                <w:kern w:val="32"/>
              </w:rPr>
              <m:t>Book Equity</m:t>
            </m:r>
          </m:den>
        </m:f>
        <m:r>
          <m:rPr>
            <m:nor/>
          </m:rPr>
          <w:rPr>
            <w:bCs/>
            <w:kern w:val="32"/>
          </w:rPr>
          <m:t xml:space="preserve"> x </m:t>
        </m:r>
        <m:f>
          <m:fPr>
            <m:ctrlPr>
              <w:rPr>
                <w:rFonts w:ascii="Cambria Math" w:hAnsi="Cambria Math"/>
                <w:bCs/>
                <w:i/>
                <w:kern w:val="32"/>
              </w:rPr>
            </m:ctrlPr>
          </m:fPr>
          <m:num>
            <m:r>
              <m:rPr>
                <m:nor/>
              </m:rPr>
              <w:rPr>
                <w:bCs/>
                <w:kern w:val="32"/>
              </w:rPr>
              <m:t>Book Equity</m:t>
            </m:r>
          </m:num>
          <m:den>
            <m:r>
              <m:rPr>
                <m:nor/>
              </m:rPr>
              <w:rPr>
                <w:bCs/>
                <w:kern w:val="32"/>
              </w:rPr>
              <m:t>Market Equity</m:t>
            </m:r>
          </m:den>
        </m:f>
      </m:oMath>
      <w:r w:rsidRPr="007D47D4">
        <w:rPr>
          <w:bCs/>
          <w:kern w:val="32"/>
        </w:rPr>
        <w:tab/>
      </w:r>
      <w:r w:rsidR="00FB70B3" w:rsidRPr="007D47D4">
        <w:rPr>
          <w:bCs/>
          <w:kern w:val="32"/>
        </w:rPr>
        <w:t xml:space="preserve">            </w:t>
      </w:r>
      <w:r w:rsidRPr="007D47D4">
        <w:rPr>
          <w:bCs/>
          <w:kern w:val="32"/>
        </w:rPr>
        <w:t>(3)</w:t>
      </w:r>
    </w:p>
    <w:p w14:paraId="6E94EDCD" w14:textId="77777777" w:rsidR="00A26AE1" w:rsidRDefault="00A26AE1" w:rsidP="00FB05CD">
      <w:pPr>
        <w:widowControl w:val="0"/>
        <w:ind w:firstLine="720"/>
        <w:contextualSpacing/>
        <w:jc w:val="both"/>
        <w:rPr>
          <w:bCs/>
          <w:kern w:val="32"/>
        </w:rPr>
      </w:pPr>
    </w:p>
    <w:p w14:paraId="7A08CA32" w14:textId="24D74405" w:rsidR="00FB70B3" w:rsidRPr="007D47D4" w:rsidRDefault="007C078E" w:rsidP="00534BC2">
      <w:pPr>
        <w:widowControl w:val="0"/>
        <w:ind w:firstLine="720"/>
        <w:contextualSpacing/>
        <w:jc w:val="both"/>
        <w:rPr>
          <w:bCs/>
          <w:kern w:val="32"/>
        </w:rPr>
      </w:pPr>
      <w:r w:rsidRPr="007D47D4">
        <w:rPr>
          <w:bCs/>
          <w:kern w:val="32"/>
        </w:rPr>
        <w:t xml:space="preserve">As </w:t>
      </w:r>
      <w:r w:rsidR="001F6986" w:rsidRPr="007D47D4">
        <w:rPr>
          <w:bCs/>
          <w:kern w:val="32"/>
        </w:rPr>
        <w:t xml:space="preserve">the decomposition of ROME in </w:t>
      </w:r>
      <w:r w:rsidRPr="007D47D4">
        <w:rPr>
          <w:bCs/>
          <w:kern w:val="32"/>
        </w:rPr>
        <w:t xml:space="preserve">Figure 1 shows, </w:t>
      </w:r>
      <w:r w:rsidR="001F6986" w:rsidRPr="007D47D4">
        <w:rPr>
          <w:bCs/>
          <w:kern w:val="32"/>
        </w:rPr>
        <w:t>this measure highlights</w:t>
      </w:r>
      <w:r w:rsidR="004F3F41" w:rsidRPr="007D47D4">
        <w:rPr>
          <w:bCs/>
          <w:kern w:val="32"/>
        </w:rPr>
        <w:t xml:space="preserve"> </w:t>
      </w:r>
      <w:r w:rsidR="001F6986" w:rsidRPr="007D47D4">
        <w:rPr>
          <w:bCs/>
          <w:kern w:val="32"/>
        </w:rPr>
        <w:t>that</w:t>
      </w:r>
      <w:r w:rsidRPr="007D47D4">
        <w:rPr>
          <w:bCs/>
          <w:kern w:val="32"/>
        </w:rPr>
        <w:t xml:space="preserve"> </w:t>
      </w:r>
      <w:r w:rsidR="001F6986" w:rsidRPr="007D47D4">
        <w:rPr>
          <w:bCs/>
          <w:kern w:val="32"/>
        </w:rPr>
        <w:t xml:space="preserve">significant </w:t>
      </w:r>
      <w:r w:rsidRPr="007D47D4">
        <w:rPr>
          <w:bCs/>
          <w:kern w:val="32"/>
        </w:rPr>
        <w:t>difference</w:t>
      </w:r>
      <w:r w:rsidR="001F6986" w:rsidRPr="007D47D4">
        <w:rPr>
          <w:bCs/>
          <w:kern w:val="32"/>
        </w:rPr>
        <w:t>s</w:t>
      </w:r>
      <w:r w:rsidRPr="007D47D4">
        <w:rPr>
          <w:bCs/>
          <w:kern w:val="32"/>
        </w:rPr>
        <w:t xml:space="preserve"> in returns to stockholders </w:t>
      </w:r>
      <w:r w:rsidR="001F6986" w:rsidRPr="007D47D4">
        <w:rPr>
          <w:bCs/>
          <w:kern w:val="32"/>
        </w:rPr>
        <w:t xml:space="preserve">may </w:t>
      </w:r>
      <w:r w:rsidRPr="007D47D4">
        <w:rPr>
          <w:bCs/>
          <w:kern w:val="32"/>
        </w:rPr>
        <w:t xml:space="preserve">arise </w:t>
      </w:r>
      <w:r w:rsidR="001F6986" w:rsidRPr="007D47D4">
        <w:rPr>
          <w:bCs/>
          <w:kern w:val="32"/>
        </w:rPr>
        <w:t>when using</w:t>
      </w:r>
      <w:r w:rsidRPr="007D47D4">
        <w:rPr>
          <w:bCs/>
          <w:kern w:val="32"/>
        </w:rPr>
        <w:t xml:space="preserve"> the accounting calculation of equity </w:t>
      </w:r>
      <w:r w:rsidR="001F6986" w:rsidRPr="007D47D4">
        <w:rPr>
          <w:bCs/>
          <w:kern w:val="32"/>
        </w:rPr>
        <w:t>instead of</w:t>
      </w:r>
      <w:r w:rsidRPr="007D47D4">
        <w:rPr>
          <w:bCs/>
          <w:kern w:val="32"/>
        </w:rPr>
        <w:t xml:space="preserve"> actual market values.</w:t>
      </w:r>
    </w:p>
    <w:p w14:paraId="77211070" w14:textId="77777777" w:rsidR="00534BC2" w:rsidRDefault="00534BC2" w:rsidP="00534BC2">
      <w:pPr>
        <w:keepNext/>
        <w:keepLines/>
        <w:spacing w:before="240" w:after="60"/>
        <w:jc w:val="center"/>
        <w:outlineLvl w:val="0"/>
        <w:rPr>
          <w:b/>
          <w:bCs/>
          <w:kern w:val="32"/>
        </w:rPr>
      </w:pPr>
      <w:r w:rsidRPr="007D47D4">
        <w:rPr>
          <w:b/>
          <w:bCs/>
          <w:kern w:val="32"/>
        </w:rPr>
        <w:lastRenderedPageBreak/>
        <w:t xml:space="preserve">Figure 1: DuPont Decomposition of </w:t>
      </w:r>
      <w:proofErr w:type="gramStart"/>
      <w:r w:rsidRPr="007D47D4">
        <w:rPr>
          <w:b/>
          <w:bCs/>
          <w:kern w:val="32"/>
        </w:rPr>
        <w:t>The</w:t>
      </w:r>
      <w:proofErr w:type="gramEnd"/>
      <w:r w:rsidRPr="007D47D4">
        <w:rPr>
          <w:b/>
          <w:bCs/>
          <w:kern w:val="32"/>
        </w:rPr>
        <w:t xml:space="preserve"> New ROME</w:t>
      </w:r>
      <w:r w:rsidRPr="007D47D4">
        <w:rPr>
          <w:b/>
          <w:bCs/>
          <w:noProof/>
          <w:kern w:val="32"/>
        </w:rPr>
        <w:drawing>
          <wp:inline distT="0" distB="0" distL="0" distR="0" wp14:anchorId="06DA7D3E" wp14:editId="1EC7EECE">
            <wp:extent cx="5943600" cy="2585363"/>
            <wp:effectExtent l="0" t="0" r="0" b="5715"/>
            <wp:docPr id="2" name="Picture 2" descr="C:\Users\The Guptas\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Guptas\Desktop\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8623" cy="2587548"/>
                    </a:xfrm>
                    <a:prstGeom prst="rect">
                      <a:avLst/>
                    </a:prstGeom>
                    <a:noFill/>
                    <a:ln>
                      <a:noFill/>
                    </a:ln>
                  </pic:spPr>
                </pic:pic>
              </a:graphicData>
            </a:graphic>
          </wp:inline>
        </w:drawing>
      </w:r>
    </w:p>
    <w:p w14:paraId="7E244085" w14:textId="4A8098B4" w:rsidR="00FB70B3" w:rsidRPr="007D47D4" w:rsidRDefault="007C078E" w:rsidP="00534BC2">
      <w:pPr>
        <w:keepNext/>
        <w:keepLines/>
        <w:spacing w:before="240" w:after="60"/>
        <w:jc w:val="both"/>
        <w:outlineLvl w:val="0"/>
        <w:rPr>
          <w:bCs/>
          <w:kern w:val="32"/>
        </w:rPr>
      </w:pPr>
      <w:r w:rsidRPr="007D47D4">
        <w:rPr>
          <w:bCs/>
          <w:kern w:val="32"/>
        </w:rPr>
        <w:t>T</w:t>
      </w:r>
      <w:r w:rsidR="0004146A" w:rsidRPr="007D47D4">
        <w:rPr>
          <w:bCs/>
          <w:kern w:val="32"/>
        </w:rPr>
        <w:t xml:space="preserve">he </w:t>
      </w:r>
      <w:r w:rsidRPr="007D47D4">
        <w:rPr>
          <w:bCs/>
          <w:kern w:val="32"/>
        </w:rPr>
        <w:t>book-to-market</w:t>
      </w:r>
      <w:r w:rsidR="0004146A" w:rsidRPr="007D47D4">
        <w:rPr>
          <w:bCs/>
          <w:kern w:val="32"/>
        </w:rPr>
        <w:t xml:space="preserve"> ratio is often used to proxy for intangible asset</w:t>
      </w:r>
      <w:r w:rsidR="00962AF6" w:rsidRPr="007D47D4">
        <w:rPr>
          <w:bCs/>
          <w:kern w:val="32"/>
        </w:rPr>
        <w:t>s</w:t>
      </w:r>
      <w:r w:rsidR="0004146A" w:rsidRPr="007D47D4">
        <w:rPr>
          <w:bCs/>
          <w:kern w:val="32"/>
        </w:rPr>
        <w:t xml:space="preserve"> and growth opportunities: two things that the market </w:t>
      </w:r>
      <w:r w:rsidR="00A5249D" w:rsidRPr="007D47D4">
        <w:rPr>
          <w:bCs/>
          <w:kern w:val="32"/>
        </w:rPr>
        <w:t xml:space="preserve">may </w:t>
      </w:r>
      <w:r w:rsidR="0004146A" w:rsidRPr="007D47D4">
        <w:rPr>
          <w:bCs/>
          <w:kern w:val="32"/>
        </w:rPr>
        <w:t xml:space="preserve">value differently </w:t>
      </w:r>
      <w:r w:rsidR="00A5249D" w:rsidRPr="007D47D4">
        <w:rPr>
          <w:bCs/>
          <w:kern w:val="32"/>
        </w:rPr>
        <w:t>from</w:t>
      </w:r>
      <w:r w:rsidR="0004146A" w:rsidRPr="007D47D4">
        <w:rPr>
          <w:bCs/>
          <w:kern w:val="32"/>
        </w:rPr>
        <w:t xml:space="preserve"> account</w:t>
      </w:r>
      <w:r w:rsidR="00A5249D" w:rsidRPr="007D47D4">
        <w:rPr>
          <w:bCs/>
          <w:kern w:val="32"/>
        </w:rPr>
        <w:t>ing statements</w:t>
      </w:r>
      <w:r w:rsidR="0004146A" w:rsidRPr="007D47D4">
        <w:rPr>
          <w:bCs/>
          <w:kern w:val="32"/>
        </w:rPr>
        <w:t xml:space="preserve"> which </w:t>
      </w:r>
      <w:r w:rsidR="00A5249D" w:rsidRPr="007D47D4">
        <w:rPr>
          <w:bCs/>
          <w:kern w:val="32"/>
        </w:rPr>
        <w:t>can lead to material</w:t>
      </w:r>
      <w:r w:rsidR="0004146A" w:rsidRPr="007D47D4">
        <w:rPr>
          <w:bCs/>
          <w:kern w:val="32"/>
        </w:rPr>
        <w:t xml:space="preserve"> difference between market value</w:t>
      </w:r>
      <w:r w:rsidR="00A5249D" w:rsidRPr="007D47D4">
        <w:rPr>
          <w:bCs/>
          <w:kern w:val="32"/>
        </w:rPr>
        <w:t>s</w:t>
      </w:r>
      <w:r w:rsidR="0004146A" w:rsidRPr="007D47D4">
        <w:rPr>
          <w:bCs/>
          <w:kern w:val="32"/>
        </w:rPr>
        <w:t xml:space="preserve"> and book value</w:t>
      </w:r>
      <w:r w:rsidR="00A5249D" w:rsidRPr="007D47D4">
        <w:rPr>
          <w:bCs/>
          <w:kern w:val="32"/>
        </w:rPr>
        <w:t>s</w:t>
      </w:r>
      <w:r w:rsidR="0004146A" w:rsidRPr="007D47D4">
        <w:rPr>
          <w:bCs/>
          <w:kern w:val="32"/>
        </w:rPr>
        <w:t xml:space="preserve"> and hence the ratio. A </w:t>
      </w:r>
      <w:r w:rsidRPr="007D47D4">
        <w:rPr>
          <w:bCs/>
          <w:kern w:val="32"/>
        </w:rPr>
        <w:t>low book-to-market</w:t>
      </w:r>
      <w:r w:rsidR="0004146A" w:rsidRPr="007D47D4">
        <w:rPr>
          <w:bCs/>
          <w:kern w:val="32"/>
        </w:rPr>
        <w:t xml:space="preserve"> ratio implies a high number of intangible assets and/or growth opportunities. </w:t>
      </w:r>
      <w:r w:rsidR="007D4500" w:rsidRPr="007D47D4">
        <w:rPr>
          <w:bCs/>
          <w:kern w:val="32"/>
        </w:rPr>
        <w:t>Figure 2 shows that</w:t>
      </w:r>
      <w:r w:rsidRPr="007D47D4">
        <w:rPr>
          <w:bCs/>
          <w:kern w:val="32"/>
        </w:rPr>
        <w:t xml:space="preserve"> </w:t>
      </w:r>
      <w:r w:rsidR="00A5249D" w:rsidRPr="007D47D4">
        <w:rPr>
          <w:bCs/>
          <w:kern w:val="32"/>
        </w:rPr>
        <w:t>book-to-market</w:t>
      </w:r>
      <w:r w:rsidRPr="007D47D4">
        <w:rPr>
          <w:bCs/>
          <w:kern w:val="32"/>
        </w:rPr>
        <w:t xml:space="preserve"> ratios for U</w:t>
      </w:r>
      <w:r w:rsidR="00E04EED" w:rsidRPr="007D47D4">
        <w:rPr>
          <w:bCs/>
          <w:kern w:val="32"/>
        </w:rPr>
        <w:t>.</w:t>
      </w:r>
      <w:r w:rsidRPr="007D47D4">
        <w:rPr>
          <w:bCs/>
          <w:kern w:val="32"/>
        </w:rPr>
        <w:t>S</w:t>
      </w:r>
      <w:r w:rsidR="00E04EED" w:rsidRPr="007D47D4">
        <w:rPr>
          <w:bCs/>
          <w:kern w:val="32"/>
        </w:rPr>
        <w:t>.</w:t>
      </w:r>
      <w:r w:rsidRPr="007D47D4">
        <w:rPr>
          <w:bCs/>
          <w:kern w:val="32"/>
        </w:rPr>
        <w:t xml:space="preserve"> </w:t>
      </w:r>
      <w:r w:rsidR="007D4500" w:rsidRPr="007D47D4">
        <w:rPr>
          <w:bCs/>
          <w:kern w:val="32"/>
        </w:rPr>
        <w:t xml:space="preserve">firms </w:t>
      </w:r>
      <w:r w:rsidRPr="007D47D4">
        <w:rPr>
          <w:bCs/>
          <w:kern w:val="32"/>
        </w:rPr>
        <w:t>have reduced dramatically over time</w:t>
      </w:r>
      <w:r w:rsidR="007D4500" w:rsidRPr="007D47D4">
        <w:rPr>
          <w:bCs/>
          <w:kern w:val="32"/>
        </w:rPr>
        <w:t>.</w:t>
      </w:r>
    </w:p>
    <w:p w14:paraId="247D35CF" w14:textId="77777777" w:rsidR="004D47D4" w:rsidRDefault="004D47D4" w:rsidP="004D47D4">
      <w:pPr>
        <w:keepNext/>
        <w:keepLines/>
        <w:jc w:val="both"/>
        <w:outlineLvl w:val="0"/>
        <w:rPr>
          <w:b/>
          <w:bCs/>
          <w:kern w:val="32"/>
        </w:rPr>
      </w:pPr>
    </w:p>
    <w:p w14:paraId="332BE611" w14:textId="77777777" w:rsidR="004D47D4" w:rsidRPr="007D47D4" w:rsidRDefault="004D47D4" w:rsidP="004D47D4">
      <w:pPr>
        <w:keepNext/>
        <w:keepLines/>
        <w:jc w:val="center"/>
        <w:outlineLvl w:val="0"/>
        <w:rPr>
          <w:b/>
          <w:bCs/>
          <w:kern w:val="32"/>
        </w:rPr>
      </w:pPr>
      <w:r w:rsidRPr="007D47D4">
        <w:rPr>
          <w:b/>
          <w:bCs/>
          <w:kern w:val="32"/>
        </w:rPr>
        <w:t>Figure 2: Book to Market Ratio</w:t>
      </w:r>
    </w:p>
    <w:p w14:paraId="3625E987" w14:textId="77777777" w:rsidR="004D47D4" w:rsidRPr="007D47D4" w:rsidRDefault="004D47D4" w:rsidP="004D47D4">
      <w:pPr>
        <w:keepNext/>
        <w:keepLines/>
        <w:outlineLvl w:val="0"/>
        <w:rPr>
          <w:bCs/>
          <w:i/>
          <w:kern w:val="32"/>
        </w:rPr>
      </w:pPr>
      <w:r w:rsidRPr="007D47D4">
        <w:rPr>
          <w:bCs/>
          <w:i/>
          <w:kern w:val="32"/>
        </w:rPr>
        <w:t xml:space="preserve">Ratios of Book Value of Common Equity (BE) to Market Value of Market Equity (ME) breakpoints are computed at the end of each June. The BE used in June of year t is the book equity for the last fiscal year end in t-1. </w:t>
      </w:r>
      <w:proofErr w:type="gramStart"/>
      <w:r w:rsidRPr="007D47D4">
        <w:rPr>
          <w:bCs/>
          <w:i/>
          <w:kern w:val="32"/>
        </w:rPr>
        <w:t>ME</w:t>
      </w:r>
      <w:proofErr w:type="gramEnd"/>
      <w:r w:rsidRPr="007D47D4">
        <w:rPr>
          <w:bCs/>
          <w:i/>
          <w:kern w:val="32"/>
        </w:rPr>
        <w:t xml:space="preserve"> is price times shares outstanding at the end of December of t-1. The breakpoints for year </w:t>
      </w:r>
      <w:proofErr w:type="spellStart"/>
      <w:r w:rsidRPr="007D47D4">
        <w:rPr>
          <w:bCs/>
          <w:i/>
          <w:kern w:val="32"/>
        </w:rPr>
        <w:t>t</w:t>
      </w:r>
      <w:proofErr w:type="spellEnd"/>
      <w:r w:rsidRPr="007D47D4">
        <w:rPr>
          <w:bCs/>
          <w:i/>
          <w:kern w:val="32"/>
        </w:rPr>
        <w:t xml:space="preserve"> use all NYSE stocks for which we have ME for December of t-1 and (positive) BE for the last fiscal year end in t-1  Data for the 50</w:t>
      </w:r>
      <w:r w:rsidRPr="007D47D4">
        <w:rPr>
          <w:bCs/>
          <w:i/>
          <w:kern w:val="32"/>
          <w:vertAlign w:val="superscript"/>
        </w:rPr>
        <w:t>th</w:t>
      </w:r>
      <w:r w:rsidRPr="007D47D4">
        <w:rPr>
          <w:bCs/>
          <w:i/>
          <w:kern w:val="32"/>
        </w:rPr>
        <w:t>, 25</w:t>
      </w:r>
      <w:r w:rsidRPr="007D47D4">
        <w:rPr>
          <w:bCs/>
          <w:i/>
          <w:kern w:val="32"/>
          <w:vertAlign w:val="superscript"/>
        </w:rPr>
        <w:t>th</w:t>
      </w:r>
      <w:r w:rsidRPr="007D47D4">
        <w:rPr>
          <w:bCs/>
          <w:i/>
          <w:kern w:val="32"/>
        </w:rPr>
        <w:t>, and 5</w:t>
      </w:r>
      <w:r w:rsidRPr="007D47D4">
        <w:rPr>
          <w:bCs/>
          <w:i/>
          <w:kern w:val="32"/>
          <w:vertAlign w:val="superscript"/>
        </w:rPr>
        <w:t>th</w:t>
      </w:r>
      <w:r w:rsidRPr="007D47D4">
        <w:rPr>
          <w:bCs/>
          <w:i/>
          <w:kern w:val="32"/>
        </w:rPr>
        <w:t xml:space="preserve"> percentile breakpoints presented.  All data is obtained from Kenneth French’s website.</w:t>
      </w:r>
    </w:p>
    <w:p w14:paraId="677CA13A" w14:textId="77777777" w:rsidR="004D47D4" w:rsidRPr="007D47D4" w:rsidRDefault="004D47D4" w:rsidP="004D47D4">
      <w:pPr>
        <w:keepNext/>
        <w:keepLines/>
        <w:jc w:val="both"/>
        <w:outlineLvl w:val="0"/>
        <w:rPr>
          <w:b/>
          <w:bCs/>
          <w:kern w:val="32"/>
        </w:rPr>
      </w:pPr>
    </w:p>
    <w:p w14:paraId="2E2A9892" w14:textId="33422F53" w:rsidR="004D47D4" w:rsidRPr="007D47D4" w:rsidRDefault="004D47D4" w:rsidP="004D47D4">
      <w:pPr>
        <w:widowControl w:val="0"/>
        <w:contextualSpacing/>
        <w:jc w:val="both"/>
        <w:rPr>
          <w:bCs/>
          <w:kern w:val="32"/>
        </w:rPr>
      </w:pPr>
      <w:r w:rsidRPr="007D47D4">
        <w:rPr>
          <w:noProof/>
        </w:rPr>
        <w:drawing>
          <wp:inline distT="0" distB="0" distL="0" distR="0" wp14:anchorId="0D1E434B" wp14:editId="14A757B4">
            <wp:extent cx="4594860" cy="25984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DC51AE" w14:textId="77777777" w:rsidR="005D0F5F" w:rsidRDefault="005D0F5F" w:rsidP="00534BC2">
      <w:pPr>
        <w:widowControl w:val="0"/>
        <w:ind w:firstLine="720"/>
        <w:contextualSpacing/>
        <w:jc w:val="both"/>
        <w:rPr>
          <w:rFonts w:eastAsia="Arial Unicode MS"/>
          <w:color w:val="2E2E2E"/>
        </w:rPr>
      </w:pPr>
    </w:p>
    <w:p w14:paraId="644A36DB" w14:textId="2A548444" w:rsidR="00D03CAA" w:rsidRPr="007D47D4" w:rsidRDefault="00D27A34" w:rsidP="00534BC2">
      <w:pPr>
        <w:widowControl w:val="0"/>
        <w:ind w:firstLine="720"/>
        <w:contextualSpacing/>
        <w:jc w:val="both"/>
        <w:rPr>
          <w:bCs/>
          <w:kern w:val="32"/>
        </w:rPr>
      </w:pPr>
      <w:proofErr w:type="spellStart"/>
      <w:r w:rsidRPr="007D47D4">
        <w:rPr>
          <w:rFonts w:eastAsia="Arial Unicode MS"/>
          <w:color w:val="2E2E2E"/>
        </w:rPr>
        <w:lastRenderedPageBreak/>
        <w:t>Falato</w:t>
      </w:r>
      <w:proofErr w:type="spellEnd"/>
      <w:r w:rsidRPr="007D47D4">
        <w:rPr>
          <w:rFonts w:eastAsia="Arial Unicode MS"/>
          <w:color w:val="2E2E2E"/>
        </w:rPr>
        <w:t xml:space="preserve">, </w:t>
      </w:r>
      <w:proofErr w:type="spellStart"/>
      <w:r w:rsidRPr="007D47D4">
        <w:rPr>
          <w:rFonts w:eastAsia="Arial Unicode MS"/>
          <w:color w:val="2E2E2E"/>
        </w:rPr>
        <w:t>Kadyrzhanova</w:t>
      </w:r>
      <w:proofErr w:type="spellEnd"/>
      <w:r w:rsidRPr="007D47D4">
        <w:rPr>
          <w:rFonts w:eastAsia="Arial Unicode MS"/>
          <w:color w:val="2E2E2E"/>
        </w:rPr>
        <w:t>, and Sim (2014) find that this decrease in book-to-market ratios</w:t>
      </w:r>
      <w:r w:rsidRPr="007D47D4">
        <w:rPr>
          <w:bCs/>
          <w:kern w:val="32"/>
        </w:rPr>
        <w:t xml:space="preserve"> corresponds with the documented rise in intangible assets. </w:t>
      </w:r>
      <w:r w:rsidR="007D4500" w:rsidRPr="007D47D4">
        <w:rPr>
          <w:bCs/>
          <w:kern w:val="32"/>
        </w:rPr>
        <w:t xml:space="preserve">Consequently, we argue that </w:t>
      </w:r>
      <w:r w:rsidR="00FB70B3" w:rsidRPr="007D47D4">
        <w:rPr>
          <w:bCs/>
          <w:kern w:val="32"/>
        </w:rPr>
        <w:t xml:space="preserve">ROE is omitting a very important component of a firm’s ability to generate revenues, intangible assets. </w:t>
      </w:r>
      <w:r w:rsidRPr="007D47D4">
        <w:rPr>
          <w:bCs/>
          <w:kern w:val="32"/>
        </w:rPr>
        <w:t>Even though balance sheets may not reflect the value, t</w:t>
      </w:r>
      <w:r w:rsidR="00FB70B3" w:rsidRPr="007D47D4">
        <w:rPr>
          <w:bCs/>
          <w:kern w:val="32"/>
        </w:rPr>
        <w:t>he market recognizes the importance of intangible assets like patents, trademarks, internet domain names, customer lists, software and trade secrets</w:t>
      </w:r>
      <w:r w:rsidR="00A92215" w:rsidRPr="007D47D4">
        <w:rPr>
          <w:bCs/>
          <w:kern w:val="32"/>
        </w:rPr>
        <w:t>, and</w:t>
      </w:r>
      <w:r w:rsidR="00FB70B3" w:rsidRPr="007D47D4">
        <w:rPr>
          <w:bCs/>
          <w:kern w:val="32"/>
        </w:rPr>
        <w:t xml:space="preserve"> incorporates news and information about these intangible assets into the stock’s market price in </w:t>
      </w:r>
      <w:r w:rsidR="00A92215" w:rsidRPr="007D47D4">
        <w:rPr>
          <w:bCs/>
          <w:kern w:val="32"/>
        </w:rPr>
        <w:t xml:space="preserve">the current </w:t>
      </w:r>
      <w:r w:rsidR="00FB70B3" w:rsidRPr="007D47D4">
        <w:rPr>
          <w:bCs/>
          <w:kern w:val="32"/>
        </w:rPr>
        <w:t xml:space="preserve">increasingly service-oriented economy.  Consider for example a biotech company that decides to increase investments on research and development (R&amp;D) to </w:t>
      </w:r>
      <w:r w:rsidR="00A92215" w:rsidRPr="007D47D4">
        <w:rPr>
          <w:bCs/>
          <w:kern w:val="32"/>
        </w:rPr>
        <w:t>cultivate</w:t>
      </w:r>
      <w:r w:rsidR="00FB70B3" w:rsidRPr="007D47D4">
        <w:rPr>
          <w:bCs/>
          <w:kern w:val="32"/>
        </w:rPr>
        <w:t xml:space="preserve"> new patented drugs, and on advertising and marketing (A&amp;M) to build the brand value of its drugs portfolio.  Under US GAAP, net income would be reduced correspondingly, </w:t>
      </w:r>
      <w:r w:rsidR="0099011F" w:rsidRPr="007D47D4">
        <w:rPr>
          <w:bCs/>
          <w:kern w:val="32"/>
        </w:rPr>
        <w:t>but</w:t>
      </w:r>
      <w:r w:rsidR="00FB70B3" w:rsidRPr="007D47D4">
        <w:rPr>
          <w:bCs/>
          <w:kern w:val="32"/>
        </w:rPr>
        <w:t xml:space="preserve"> the company’s assets would not reflect the increased value in its drugs portfolio of assets. However, when we u</w:t>
      </w:r>
      <w:r w:rsidR="0099011F" w:rsidRPr="007D47D4">
        <w:rPr>
          <w:bCs/>
          <w:kern w:val="32"/>
        </w:rPr>
        <w:t>s</w:t>
      </w:r>
      <w:r w:rsidR="00FB70B3" w:rsidRPr="007D47D4">
        <w:rPr>
          <w:bCs/>
          <w:kern w:val="32"/>
        </w:rPr>
        <w:t>e the market value of equity</w:t>
      </w:r>
      <w:r w:rsidR="0099011F" w:rsidRPr="007D47D4">
        <w:rPr>
          <w:bCs/>
          <w:kern w:val="32"/>
        </w:rPr>
        <w:t xml:space="preserve"> in the denominator to calculate ROME</w:t>
      </w:r>
      <w:r w:rsidR="00FB70B3" w:rsidRPr="007D47D4">
        <w:rPr>
          <w:bCs/>
          <w:kern w:val="32"/>
        </w:rPr>
        <w:t xml:space="preserve">, </w:t>
      </w:r>
      <w:r w:rsidR="0099011F" w:rsidRPr="007D47D4">
        <w:rPr>
          <w:bCs/>
          <w:kern w:val="32"/>
        </w:rPr>
        <w:t xml:space="preserve">we reflect more accurately the </w:t>
      </w:r>
      <w:r w:rsidR="00FB70B3" w:rsidRPr="007D47D4">
        <w:rPr>
          <w:bCs/>
          <w:kern w:val="32"/>
        </w:rPr>
        <w:t xml:space="preserve">return </w:t>
      </w:r>
      <w:r w:rsidR="0099011F" w:rsidRPr="007D47D4">
        <w:rPr>
          <w:bCs/>
          <w:kern w:val="32"/>
        </w:rPr>
        <w:t xml:space="preserve">to investors </w:t>
      </w:r>
      <w:r w:rsidR="00FB70B3" w:rsidRPr="007D47D4">
        <w:rPr>
          <w:bCs/>
          <w:kern w:val="32"/>
        </w:rPr>
        <w:t xml:space="preserve">on </w:t>
      </w:r>
      <w:r w:rsidR="0099011F" w:rsidRPr="007D47D4">
        <w:rPr>
          <w:bCs/>
          <w:kern w:val="32"/>
        </w:rPr>
        <w:t>a firm’s investments in all assets.</w:t>
      </w:r>
    </w:p>
    <w:p w14:paraId="0E275DB5" w14:textId="0762145A" w:rsidR="00FB70B3" w:rsidRPr="007D47D4" w:rsidRDefault="007C078E" w:rsidP="00FB05CD">
      <w:pPr>
        <w:widowControl w:val="0"/>
        <w:ind w:firstLine="720"/>
        <w:contextualSpacing/>
        <w:jc w:val="both"/>
        <w:rPr>
          <w:bCs/>
          <w:kern w:val="32"/>
        </w:rPr>
      </w:pPr>
      <w:r w:rsidRPr="007D47D4">
        <w:rPr>
          <w:bCs/>
          <w:kern w:val="32"/>
        </w:rPr>
        <w:t>Another reason for the disparity between ROE and actual return to shareholders is the growing use of stock buybacks; stock buybacks reduce book value of common equity which in turn raises ROE for most firms.  But, given the accounting treatment of treasury stock, this may dramatically lower the book value of common equity.  For some firms, it may even force the book value of common equity to a negative</w:t>
      </w:r>
      <w:r w:rsidR="00A92215" w:rsidRPr="007D47D4">
        <w:rPr>
          <w:bCs/>
          <w:kern w:val="32"/>
        </w:rPr>
        <w:t xml:space="preserve"> value</w:t>
      </w:r>
      <w:r w:rsidRPr="007D47D4">
        <w:rPr>
          <w:bCs/>
          <w:kern w:val="32"/>
        </w:rPr>
        <w:t>.</w:t>
      </w:r>
    </w:p>
    <w:p w14:paraId="17429CAF" w14:textId="3C2D410B" w:rsidR="007C078E" w:rsidRPr="007D47D4" w:rsidRDefault="007C078E" w:rsidP="00FB05CD">
      <w:pPr>
        <w:keepNext/>
        <w:keepLines/>
        <w:ind w:firstLine="720"/>
        <w:jc w:val="both"/>
        <w:outlineLvl w:val="0"/>
        <w:rPr>
          <w:bCs/>
          <w:kern w:val="32"/>
        </w:rPr>
      </w:pPr>
      <w:r w:rsidRPr="007D47D4">
        <w:rPr>
          <w:bCs/>
          <w:kern w:val="32"/>
        </w:rPr>
        <w:t xml:space="preserve">These issues with calculating a more meaningful return to stockholders </w:t>
      </w:r>
      <w:r w:rsidR="00C9337C" w:rsidRPr="007D47D4">
        <w:rPr>
          <w:bCs/>
          <w:kern w:val="32"/>
        </w:rPr>
        <w:t>are</w:t>
      </w:r>
      <w:r w:rsidRPr="007D47D4">
        <w:rPr>
          <w:bCs/>
          <w:kern w:val="32"/>
        </w:rPr>
        <w:t xml:space="preserve"> mitigated when using ROME.  </w:t>
      </w:r>
      <w:r w:rsidR="005D5CFC" w:rsidRPr="007D47D4">
        <w:rPr>
          <w:bCs/>
          <w:kern w:val="32"/>
        </w:rPr>
        <w:t xml:space="preserve">As </w:t>
      </w:r>
      <w:proofErr w:type="spellStart"/>
      <w:r w:rsidR="005D5CFC" w:rsidRPr="007D47D4">
        <w:rPr>
          <w:bCs/>
          <w:kern w:val="32"/>
        </w:rPr>
        <w:t>Golec</w:t>
      </w:r>
      <w:proofErr w:type="spellEnd"/>
      <w:r w:rsidR="005D5CFC" w:rsidRPr="007D47D4">
        <w:rPr>
          <w:bCs/>
          <w:kern w:val="32"/>
        </w:rPr>
        <w:t xml:space="preserve"> and Gupta (2014) show, t</w:t>
      </w:r>
      <w:r w:rsidRPr="007D47D4">
        <w:rPr>
          <w:bCs/>
          <w:kern w:val="32"/>
        </w:rPr>
        <w:t xml:space="preserve">he market value of common equity should reflect the impact of increased investments in R&amp;D </w:t>
      </w:r>
      <w:r w:rsidR="00D27A34" w:rsidRPr="007D47D4">
        <w:rPr>
          <w:bCs/>
          <w:kern w:val="32"/>
        </w:rPr>
        <w:t xml:space="preserve">or </w:t>
      </w:r>
      <w:r w:rsidRPr="007D47D4">
        <w:rPr>
          <w:bCs/>
          <w:kern w:val="32"/>
        </w:rPr>
        <w:t>A&amp;M through an implicit increase in the value of the company’s drug portfolio</w:t>
      </w:r>
      <w:r w:rsidR="00D27A34" w:rsidRPr="007D47D4">
        <w:rPr>
          <w:bCs/>
          <w:kern w:val="32"/>
        </w:rPr>
        <w:t xml:space="preserve"> or increased brand value creation efforts</w:t>
      </w:r>
      <w:r w:rsidRPr="007D47D4">
        <w:rPr>
          <w:bCs/>
          <w:kern w:val="32"/>
        </w:rPr>
        <w:t xml:space="preserve">.  Also, the market value of common equity immediately </w:t>
      </w:r>
      <w:r w:rsidR="005D5CFC" w:rsidRPr="007D47D4">
        <w:rPr>
          <w:bCs/>
          <w:kern w:val="32"/>
        </w:rPr>
        <w:t xml:space="preserve">accounts for </w:t>
      </w:r>
      <w:r w:rsidRPr="007D47D4">
        <w:rPr>
          <w:bCs/>
          <w:kern w:val="32"/>
        </w:rPr>
        <w:t xml:space="preserve">the common shares </w:t>
      </w:r>
      <w:r w:rsidR="006047DF" w:rsidRPr="007D47D4">
        <w:rPr>
          <w:bCs/>
          <w:kern w:val="32"/>
        </w:rPr>
        <w:t>outstanding</w:t>
      </w:r>
      <w:r w:rsidRPr="007D47D4">
        <w:rPr>
          <w:bCs/>
          <w:kern w:val="32"/>
        </w:rPr>
        <w:t xml:space="preserve"> after a stock buyback, providing a more meaningful number for stockholder investment.</w:t>
      </w:r>
    </w:p>
    <w:p w14:paraId="71819454" w14:textId="77777777" w:rsidR="0004146A" w:rsidRPr="007D47D4" w:rsidRDefault="0004146A" w:rsidP="00FB05CD">
      <w:pPr>
        <w:widowControl w:val="0"/>
        <w:contextualSpacing/>
        <w:jc w:val="both"/>
        <w:rPr>
          <w:bCs/>
          <w:kern w:val="32"/>
        </w:rPr>
      </w:pPr>
    </w:p>
    <w:p w14:paraId="1324418C" w14:textId="77777777" w:rsidR="00BE7922" w:rsidRPr="007D47D4" w:rsidRDefault="00BE7922" w:rsidP="00FB05CD">
      <w:pPr>
        <w:widowControl w:val="0"/>
        <w:contextualSpacing/>
        <w:jc w:val="both"/>
        <w:rPr>
          <w:b/>
          <w:bCs/>
          <w:kern w:val="32"/>
        </w:rPr>
      </w:pPr>
      <w:r w:rsidRPr="007D47D4">
        <w:rPr>
          <w:b/>
          <w:bCs/>
          <w:kern w:val="32"/>
        </w:rPr>
        <w:t>ILLUSTRATION OF THE NEW ROME</w:t>
      </w:r>
    </w:p>
    <w:p w14:paraId="44CD900E" w14:textId="77777777" w:rsidR="002B4B53" w:rsidRDefault="002B4B53" w:rsidP="00FB05CD">
      <w:pPr>
        <w:ind w:firstLine="720"/>
        <w:jc w:val="both"/>
        <w:rPr>
          <w:bCs/>
          <w:kern w:val="32"/>
        </w:rPr>
      </w:pPr>
    </w:p>
    <w:p w14:paraId="70F3420B" w14:textId="19DE16F0" w:rsidR="00BE7922" w:rsidRPr="007D47D4" w:rsidRDefault="00BE7922" w:rsidP="00FB05CD">
      <w:pPr>
        <w:ind w:firstLine="720"/>
        <w:jc w:val="both"/>
        <w:rPr>
          <w:bCs/>
          <w:kern w:val="32"/>
        </w:rPr>
      </w:pPr>
      <w:r w:rsidRPr="007D47D4">
        <w:rPr>
          <w:bCs/>
          <w:kern w:val="32"/>
        </w:rPr>
        <w:t>The issues with a traditional DuPont Analysis</w:t>
      </w:r>
      <w:r w:rsidR="00E6361B" w:rsidRPr="007D47D4">
        <w:rPr>
          <w:bCs/>
          <w:kern w:val="32"/>
        </w:rPr>
        <w:t>,</w:t>
      </w:r>
      <w:r w:rsidR="00D03CAA" w:rsidRPr="007D47D4">
        <w:rPr>
          <w:bCs/>
          <w:kern w:val="32"/>
        </w:rPr>
        <w:t xml:space="preserve"> and using ROE to screen for stocks</w:t>
      </w:r>
      <w:r w:rsidR="00E6361B" w:rsidRPr="007D47D4">
        <w:rPr>
          <w:bCs/>
          <w:kern w:val="32"/>
        </w:rPr>
        <w:t>,</w:t>
      </w:r>
      <w:r w:rsidRPr="007D47D4">
        <w:rPr>
          <w:bCs/>
          <w:kern w:val="32"/>
        </w:rPr>
        <w:t xml:space="preserve"> are apparent when looking at even large companies such as Wal-Mart, </w:t>
      </w:r>
      <w:r w:rsidR="006F6FAD" w:rsidRPr="007D47D4">
        <w:rPr>
          <w:bCs/>
          <w:kern w:val="32"/>
        </w:rPr>
        <w:t xml:space="preserve">Apple, Pfizer, </w:t>
      </w:r>
      <w:r w:rsidRPr="007D47D4">
        <w:rPr>
          <w:bCs/>
          <w:kern w:val="32"/>
        </w:rPr>
        <w:t>Citigroup, and Chevron.  In Table 1, we present a comparison of ROME and ROE for these firms.</w:t>
      </w:r>
    </w:p>
    <w:p w14:paraId="66A7160D" w14:textId="77777777" w:rsidR="00421626" w:rsidRDefault="00421626" w:rsidP="00421626">
      <w:pPr>
        <w:keepNext/>
        <w:keepLines/>
        <w:outlineLvl w:val="0"/>
        <w:rPr>
          <w:b/>
          <w:bCs/>
          <w:color w:val="000000"/>
        </w:rPr>
      </w:pPr>
    </w:p>
    <w:p w14:paraId="70CECD88" w14:textId="77777777" w:rsidR="00421626" w:rsidRPr="007D47D4" w:rsidRDefault="00421626" w:rsidP="00421626">
      <w:pPr>
        <w:keepNext/>
        <w:keepLines/>
        <w:jc w:val="center"/>
        <w:outlineLvl w:val="0"/>
        <w:rPr>
          <w:b/>
          <w:bCs/>
          <w:color w:val="000000"/>
        </w:rPr>
      </w:pPr>
      <w:r w:rsidRPr="007D47D4">
        <w:rPr>
          <w:b/>
          <w:bCs/>
          <w:color w:val="000000"/>
        </w:rPr>
        <w:t>Table 1: ROME versus ROE for some select firms</w:t>
      </w:r>
    </w:p>
    <w:p w14:paraId="48AFDC1B" w14:textId="77777777" w:rsidR="00421626" w:rsidRPr="007D47D4" w:rsidRDefault="00421626" w:rsidP="00421626">
      <w:pPr>
        <w:keepNext/>
        <w:keepLines/>
        <w:outlineLvl w:val="0"/>
        <w:rPr>
          <w:bCs/>
          <w:i/>
          <w:kern w:val="32"/>
        </w:rPr>
      </w:pPr>
      <w:r w:rsidRPr="007D47D4">
        <w:rPr>
          <w:bCs/>
          <w:i/>
          <w:kern w:val="32"/>
        </w:rPr>
        <w:t xml:space="preserve">Return on Market Equity (ROME) is defined as the ratio of Net Income from Continuing Operations to Market Value of Common Equity, Return on Equity (ROE) is defined as the ratio of Net Income from Continuing Operations to Average Total Common Equity, and Book to Market (B/M) is the ratio of Average Total Common Equity and Market Value of Common Equity. Data for fiscal year 2015 is obtained in </w:t>
      </w:r>
      <w:proofErr w:type="spellStart"/>
      <w:r w:rsidRPr="007D47D4">
        <w:rPr>
          <w:bCs/>
          <w:i/>
          <w:kern w:val="32"/>
        </w:rPr>
        <w:t>FactSet</w:t>
      </w:r>
      <w:proofErr w:type="spellEnd"/>
      <w:r w:rsidRPr="007D47D4">
        <w:rPr>
          <w:bCs/>
          <w:i/>
          <w:kern w:val="32"/>
        </w:rPr>
        <w:t xml:space="preserve"> for Apple, Chevron, Citigroup, Pfizer, and Wal-Mart.</w:t>
      </w:r>
    </w:p>
    <w:tbl>
      <w:tblPr>
        <w:tblW w:w="7002" w:type="dxa"/>
        <w:tblInd w:w="93" w:type="dxa"/>
        <w:tblLook w:val="04A0" w:firstRow="1" w:lastRow="0" w:firstColumn="1" w:lastColumn="0" w:noHBand="0" w:noVBand="1"/>
      </w:tblPr>
      <w:tblGrid>
        <w:gridCol w:w="2895"/>
        <w:gridCol w:w="1576"/>
        <w:gridCol w:w="394"/>
        <w:gridCol w:w="358"/>
        <w:gridCol w:w="704"/>
        <w:gridCol w:w="496"/>
        <w:gridCol w:w="579"/>
      </w:tblGrid>
      <w:tr w:rsidR="00421626" w:rsidRPr="007D47D4" w14:paraId="0237AFA5" w14:textId="77777777" w:rsidTr="002C7140">
        <w:trPr>
          <w:gridAfter w:val="1"/>
          <w:wAfter w:w="579" w:type="dxa"/>
          <w:trHeight w:val="300"/>
        </w:trPr>
        <w:tc>
          <w:tcPr>
            <w:tcW w:w="4865" w:type="dxa"/>
            <w:gridSpan w:val="3"/>
            <w:tcBorders>
              <w:top w:val="nil"/>
              <w:left w:val="nil"/>
              <w:bottom w:val="nil"/>
              <w:right w:val="nil"/>
            </w:tcBorders>
            <w:shd w:val="clear" w:color="auto" w:fill="auto"/>
            <w:noWrap/>
            <w:vAlign w:val="bottom"/>
          </w:tcPr>
          <w:p w14:paraId="1D9BE1D6" w14:textId="77777777" w:rsidR="00421626" w:rsidRPr="007D47D4" w:rsidRDefault="00421626" w:rsidP="002C7140">
            <w:pPr>
              <w:rPr>
                <w:b/>
                <w:bCs/>
                <w:color w:val="000000"/>
              </w:rPr>
            </w:pPr>
          </w:p>
        </w:tc>
        <w:tc>
          <w:tcPr>
            <w:tcW w:w="358" w:type="dxa"/>
            <w:tcBorders>
              <w:top w:val="nil"/>
              <w:left w:val="nil"/>
              <w:bottom w:val="nil"/>
              <w:right w:val="nil"/>
            </w:tcBorders>
            <w:shd w:val="clear" w:color="auto" w:fill="auto"/>
            <w:noWrap/>
            <w:vAlign w:val="bottom"/>
            <w:hideMark/>
          </w:tcPr>
          <w:p w14:paraId="0033830C" w14:textId="77777777" w:rsidR="00421626" w:rsidRPr="007D47D4" w:rsidRDefault="00421626" w:rsidP="002C7140">
            <w:pPr>
              <w:rPr>
                <w:color w:val="000000"/>
              </w:rPr>
            </w:pPr>
          </w:p>
        </w:tc>
        <w:tc>
          <w:tcPr>
            <w:tcW w:w="1200" w:type="dxa"/>
            <w:gridSpan w:val="2"/>
            <w:tcBorders>
              <w:top w:val="nil"/>
              <w:left w:val="nil"/>
              <w:bottom w:val="nil"/>
              <w:right w:val="nil"/>
            </w:tcBorders>
            <w:shd w:val="clear" w:color="auto" w:fill="auto"/>
            <w:noWrap/>
            <w:vAlign w:val="bottom"/>
            <w:hideMark/>
          </w:tcPr>
          <w:p w14:paraId="53370E98" w14:textId="77777777" w:rsidR="00421626" w:rsidRPr="007D47D4" w:rsidRDefault="00421626" w:rsidP="002C7140">
            <w:pPr>
              <w:rPr>
                <w:color w:val="000000"/>
              </w:rPr>
            </w:pPr>
          </w:p>
        </w:tc>
      </w:tr>
      <w:tr w:rsidR="00421626" w:rsidRPr="007D47D4" w14:paraId="48181582" w14:textId="77777777" w:rsidTr="002C7140">
        <w:trPr>
          <w:trHeight w:val="300"/>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A0750" w14:textId="77777777" w:rsidR="00421626" w:rsidRPr="007D47D4" w:rsidRDefault="00421626" w:rsidP="002C7140">
            <w:pPr>
              <w:rPr>
                <w:color w:val="000000"/>
              </w:rPr>
            </w:pPr>
            <w:r w:rsidRPr="007D47D4">
              <w:rPr>
                <w:color w:val="000000"/>
              </w:rPr>
              <w:t> </w:t>
            </w:r>
          </w:p>
        </w:tc>
        <w:tc>
          <w:tcPr>
            <w:tcW w:w="1576" w:type="dxa"/>
            <w:tcBorders>
              <w:top w:val="single" w:sz="4" w:space="0" w:color="auto"/>
              <w:left w:val="single" w:sz="4" w:space="0" w:color="auto"/>
              <w:bottom w:val="single" w:sz="4" w:space="0" w:color="auto"/>
              <w:right w:val="nil"/>
            </w:tcBorders>
            <w:shd w:val="clear" w:color="auto" w:fill="auto"/>
            <w:noWrap/>
            <w:vAlign w:val="bottom"/>
            <w:hideMark/>
          </w:tcPr>
          <w:p w14:paraId="71D74EA5" w14:textId="77777777" w:rsidR="00421626" w:rsidRPr="007D47D4" w:rsidRDefault="00421626" w:rsidP="002C7140">
            <w:pPr>
              <w:jc w:val="center"/>
            </w:pPr>
            <w:r w:rsidRPr="007D47D4">
              <w:t>ROME  =</w:t>
            </w:r>
          </w:p>
        </w:tc>
        <w:tc>
          <w:tcPr>
            <w:tcW w:w="1456" w:type="dxa"/>
            <w:gridSpan w:val="3"/>
            <w:tcBorders>
              <w:top w:val="single" w:sz="4" w:space="0" w:color="auto"/>
              <w:left w:val="nil"/>
              <w:bottom w:val="single" w:sz="4" w:space="0" w:color="auto"/>
              <w:right w:val="nil"/>
            </w:tcBorders>
            <w:shd w:val="clear" w:color="auto" w:fill="auto"/>
            <w:noWrap/>
            <w:vAlign w:val="bottom"/>
            <w:hideMark/>
          </w:tcPr>
          <w:p w14:paraId="6BF104D4" w14:textId="77777777" w:rsidR="00421626" w:rsidRPr="007D47D4" w:rsidRDefault="00421626" w:rsidP="002C7140">
            <w:pPr>
              <w:jc w:val="center"/>
            </w:pPr>
            <w:r w:rsidRPr="007D47D4">
              <w:t>ROE   x</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5320A5" w14:textId="77777777" w:rsidR="00421626" w:rsidRPr="007D47D4" w:rsidRDefault="00421626" w:rsidP="002C7140">
            <w:pPr>
              <w:jc w:val="center"/>
            </w:pPr>
            <w:r w:rsidRPr="007D47D4">
              <w:t>B/M</w:t>
            </w:r>
          </w:p>
        </w:tc>
      </w:tr>
      <w:tr w:rsidR="00421626" w:rsidRPr="007D47D4" w14:paraId="1A592EF6" w14:textId="77777777" w:rsidTr="002C7140">
        <w:trPr>
          <w:trHeight w:val="300"/>
        </w:trPr>
        <w:tc>
          <w:tcPr>
            <w:tcW w:w="2895" w:type="dxa"/>
            <w:tcBorders>
              <w:top w:val="nil"/>
              <w:left w:val="single" w:sz="4" w:space="0" w:color="auto"/>
              <w:bottom w:val="nil"/>
              <w:right w:val="single" w:sz="4" w:space="0" w:color="auto"/>
            </w:tcBorders>
            <w:shd w:val="clear" w:color="auto" w:fill="auto"/>
            <w:noWrap/>
            <w:vAlign w:val="bottom"/>
            <w:hideMark/>
          </w:tcPr>
          <w:p w14:paraId="5EFE0593" w14:textId="77777777" w:rsidR="00421626" w:rsidRPr="007D47D4" w:rsidRDefault="00421626" w:rsidP="002C7140">
            <w:pPr>
              <w:rPr>
                <w:color w:val="000000"/>
              </w:rPr>
            </w:pPr>
            <w:r w:rsidRPr="007D47D4">
              <w:rPr>
                <w:color w:val="000000"/>
              </w:rPr>
              <w:t>Apple (Ticker: AAPL)</w:t>
            </w:r>
          </w:p>
        </w:tc>
        <w:tc>
          <w:tcPr>
            <w:tcW w:w="1576" w:type="dxa"/>
            <w:tcBorders>
              <w:top w:val="nil"/>
              <w:left w:val="single" w:sz="4" w:space="0" w:color="auto"/>
              <w:bottom w:val="nil"/>
              <w:right w:val="nil"/>
            </w:tcBorders>
            <w:shd w:val="clear" w:color="auto" w:fill="auto"/>
            <w:noWrap/>
            <w:vAlign w:val="bottom"/>
          </w:tcPr>
          <w:p w14:paraId="5228C114" w14:textId="77777777" w:rsidR="00421626" w:rsidRPr="007D47D4" w:rsidRDefault="00421626" w:rsidP="002C7140">
            <w:pPr>
              <w:jc w:val="center"/>
            </w:pPr>
            <w:r w:rsidRPr="007D47D4">
              <w:t>7.96%</w:t>
            </w:r>
          </w:p>
        </w:tc>
        <w:tc>
          <w:tcPr>
            <w:tcW w:w="1456" w:type="dxa"/>
            <w:gridSpan w:val="3"/>
            <w:tcBorders>
              <w:top w:val="nil"/>
              <w:left w:val="nil"/>
              <w:bottom w:val="nil"/>
              <w:right w:val="nil"/>
            </w:tcBorders>
            <w:shd w:val="clear" w:color="auto" w:fill="auto"/>
            <w:noWrap/>
            <w:vAlign w:val="bottom"/>
          </w:tcPr>
          <w:p w14:paraId="0083EC98" w14:textId="77777777" w:rsidR="00421626" w:rsidRPr="007D47D4" w:rsidRDefault="00421626" w:rsidP="002C7140">
            <w:pPr>
              <w:jc w:val="center"/>
            </w:pPr>
            <w:r w:rsidRPr="007D47D4">
              <w:t>46.25%</w:t>
            </w:r>
          </w:p>
        </w:tc>
        <w:tc>
          <w:tcPr>
            <w:tcW w:w="1075" w:type="dxa"/>
            <w:gridSpan w:val="2"/>
            <w:tcBorders>
              <w:top w:val="nil"/>
              <w:left w:val="nil"/>
              <w:bottom w:val="nil"/>
              <w:right w:val="single" w:sz="4" w:space="0" w:color="auto"/>
            </w:tcBorders>
            <w:shd w:val="clear" w:color="auto" w:fill="auto"/>
            <w:noWrap/>
            <w:vAlign w:val="bottom"/>
          </w:tcPr>
          <w:p w14:paraId="60182BE7" w14:textId="77777777" w:rsidR="00421626" w:rsidRPr="007D47D4" w:rsidRDefault="00421626" w:rsidP="002C7140">
            <w:pPr>
              <w:jc w:val="center"/>
            </w:pPr>
            <w:r w:rsidRPr="007D47D4">
              <w:t>0.172</w:t>
            </w:r>
          </w:p>
        </w:tc>
      </w:tr>
      <w:tr w:rsidR="00421626" w:rsidRPr="007D47D4" w14:paraId="378FA0D8" w14:textId="77777777" w:rsidTr="002C7140">
        <w:trPr>
          <w:trHeight w:val="300"/>
        </w:trPr>
        <w:tc>
          <w:tcPr>
            <w:tcW w:w="2895" w:type="dxa"/>
            <w:tcBorders>
              <w:top w:val="nil"/>
              <w:left w:val="single" w:sz="4" w:space="0" w:color="auto"/>
              <w:right w:val="single" w:sz="4" w:space="0" w:color="auto"/>
            </w:tcBorders>
            <w:shd w:val="clear" w:color="auto" w:fill="auto"/>
            <w:noWrap/>
            <w:vAlign w:val="bottom"/>
            <w:hideMark/>
          </w:tcPr>
          <w:p w14:paraId="6A6B63D7" w14:textId="77777777" w:rsidR="00421626" w:rsidRPr="007D47D4" w:rsidRDefault="00421626" w:rsidP="002C7140">
            <w:pPr>
              <w:rPr>
                <w:color w:val="000000"/>
              </w:rPr>
            </w:pPr>
            <w:r w:rsidRPr="007D47D4">
              <w:rPr>
                <w:color w:val="000000"/>
              </w:rPr>
              <w:t>Chevron (Ticker: CVX)</w:t>
            </w:r>
          </w:p>
        </w:tc>
        <w:tc>
          <w:tcPr>
            <w:tcW w:w="1576" w:type="dxa"/>
            <w:tcBorders>
              <w:top w:val="nil"/>
              <w:left w:val="single" w:sz="4" w:space="0" w:color="auto"/>
              <w:right w:val="nil"/>
            </w:tcBorders>
            <w:shd w:val="clear" w:color="auto" w:fill="auto"/>
            <w:noWrap/>
            <w:vAlign w:val="bottom"/>
          </w:tcPr>
          <w:p w14:paraId="34E20C18" w14:textId="77777777" w:rsidR="00421626" w:rsidRPr="007D47D4" w:rsidRDefault="00421626" w:rsidP="002C7140">
            <w:pPr>
              <w:jc w:val="center"/>
            </w:pPr>
            <w:r w:rsidRPr="007D47D4">
              <w:t>2.69%</w:t>
            </w:r>
          </w:p>
        </w:tc>
        <w:tc>
          <w:tcPr>
            <w:tcW w:w="1456" w:type="dxa"/>
            <w:gridSpan w:val="3"/>
            <w:tcBorders>
              <w:top w:val="nil"/>
              <w:left w:val="nil"/>
              <w:right w:val="nil"/>
            </w:tcBorders>
            <w:shd w:val="clear" w:color="auto" w:fill="auto"/>
            <w:noWrap/>
            <w:vAlign w:val="bottom"/>
          </w:tcPr>
          <w:p w14:paraId="5EF6B827" w14:textId="77777777" w:rsidR="00421626" w:rsidRPr="007D47D4" w:rsidRDefault="00421626" w:rsidP="002C7140">
            <w:pPr>
              <w:jc w:val="center"/>
            </w:pPr>
            <w:r w:rsidRPr="007D47D4">
              <w:t>2.98%</w:t>
            </w:r>
          </w:p>
        </w:tc>
        <w:tc>
          <w:tcPr>
            <w:tcW w:w="1075" w:type="dxa"/>
            <w:gridSpan w:val="2"/>
            <w:tcBorders>
              <w:top w:val="nil"/>
              <w:left w:val="nil"/>
              <w:right w:val="single" w:sz="4" w:space="0" w:color="auto"/>
            </w:tcBorders>
            <w:shd w:val="clear" w:color="auto" w:fill="auto"/>
            <w:noWrap/>
            <w:vAlign w:val="bottom"/>
          </w:tcPr>
          <w:p w14:paraId="3A039C4A" w14:textId="77777777" w:rsidR="00421626" w:rsidRPr="007D47D4" w:rsidRDefault="00421626" w:rsidP="002C7140">
            <w:pPr>
              <w:jc w:val="center"/>
            </w:pPr>
            <w:r w:rsidRPr="007D47D4">
              <w:t>0.901</w:t>
            </w:r>
          </w:p>
        </w:tc>
      </w:tr>
      <w:tr w:rsidR="00421626" w:rsidRPr="007D47D4" w14:paraId="511E4821" w14:textId="77777777" w:rsidTr="002C7140">
        <w:trPr>
          <w:trHeight w:val="300"/>
        </w:trPr>
        <w:tc>
          <w:tcPr>
            <w:tcW w:w="2895" w:type="dxa"/>
            <w:tcBorders>
              <w:top w:val="nil"/>
              <w:left w:val="single" w:sz="4" w:space="0" w:color="auto"/>
              <w:right w:val="single" w:sz="4" w:space="0" w:color="auto"/>
            </w:tcBorders>
            <w:shd w:val="clear" w:color="auto" w:fill="auto"/>
            <w:noWrap/>
            <w:vAlign w:val="bottom"/>
          </w:tcPr>
          <w:p w14:paraId="1C1A4FC5" w14:textId="77777777" w:rsidR="00421626" w:rsidRPr="007D47D4" w:rsidRDefault="00421626" w:rsidP="002C7140">
            <w:pPr>
              <w:rPr>
                <w:color w:val="000000"/>
              </w:rPr>
            </w:pPr>
            <w:r w:rsidRPr="007D47D4">
              <w:rPr>
                <w:color w:val="000000"/>
              </w:rPr>
              <w:t>Citigroup (Ticker: C)</w:t>
            </w:r>
          </w:p>
        </w:tc>
        <w:tc>
          <w:tcPr>
            <w:tcW w:w="1576" w:type="dxa"/>
            <w:tcBorders>
              <w:top w:val="nil"/>
              <w:left w:val="single" w:sz="4" w:space="0" w:color="auto"/>
              <w:right w:val="nil"/>
            </w:tcBorders>
            <w:shd w:val="clear" w:color="auto" w:fill="auto"/>
            <w:noWrap/>
            <w:vAlign w:val="bottom"/>
          </w:tcPr>
          <w:p w14:paraId="3872EF1D" w14:textId="77777777" w:rsidR="00421626" w:rsidRPr="007D47D4" w:rsidRDefault="00421626" w:rsidP="002C7140">
            <w:pPr>
              <w:jc w:val="center"/>
            </w:pPr>
            <w:r w:rsidRPr="007D47D4">
              <w:t>10.53%</w:t>
            </w:r>
          </w:p>
        </w:tc>
        <w:tc>
          <w:tcPr>
            <w:tcW w:w="1456" w:type="dxa"/>
            <w:gridSpan w:val="3"/>
            <w:tcBorders>
              <w:top w:val="nil"/>
              <w:left w:val="nil"/>
              <w:right w:val="nil"/>
            </w:tcBorders>
            <w:shd w:val="clear" w:color="auto" w:fill="auto"/>
            <w:noWrap/>
            <w:vAlign w:val="bottom"/>
          </w:tcPr>
          <w:p w14:paraId="2C4C0E5E" w14:textId="77777777" w:rsidR="00421626" w:rsidRPr="007D47D4" w:rsidRDefault="00421626" w:rsidP="002C7140">
            <w:pPr>
              <w:jc w:val="center"/>
            </w:pPr>
            <w:r w:rsidRPr="007D47D4">
              <w:t>7.90%</w:t>
            </w:r>
          </w:p>
        </w:tc>
        <w:tc>
          <w:tcPr>
            <w:tcW w:w="1075" w:type="dxa"/>
            <w:gridSpan w:val="2"/>
            <w:tcBorders>
              <w:top w:val="nil"/>
              <w:left w:val="nil"/>
              <w:right w:val="single" w:sz="4" w:space="0" w:color="auto"/>
            </w:tcBorders>
            <w:shd w:val="clear" w:color="auto" w:fill="auto"/>
            <w:noWrap/>
            <w:vAlign w:val="bottom"/>
          </w:tcPr>
          <w:p w14:paraId="7CCFF606" w14:textId="77777777" w:rsidR="00421626" w:rsidRPr="007D47D4" w:rsidRDefault="00421626" w:rsidP="002C7140">
            <w:pPr>
              <w:jc w:val="center"/>
            </w:pPr>
            <w:r w:rsidRPr="007D47D4">
              <w:t>1.333</w:t>
            </w:r>
          </w:p>
        </w:tc>
      </w:tr>
      <w:tr w:rsidR="00421626" w:rsidRPr="007D47D4" w14:paraId="37CF246C" w14:textId="77777777" w:rsidTr="002C7140">
        <w:trPr>
          <w:trHeight w:val="300"/>
        </w:trPr>
        <w:tc>
          <w:tcPr>
            <w:tcW w:w="2895" w:type="dxa"/>
            <w:tcBorders>
              <w:left w:val="single" w:sz="4" w:space="0" w:color="auto"/>
              <w:right w:val="single" w:sz="4" w:space="0" w:color="auto"/>
            </w:tcBorders>
            <w:shd w:val="clear" w:color="auto" w:fill="auto"/>
            <w:noWrap/>
            <w:vAlign w:val="bottom"/>
          </w:tcPr>
          <w:p w14:paraId="11C1EEE3" w14:textId="77777777" w:rsidR="00421626" w:rsidRPr="007D47D4" w:rsidRDefault="00421626" w:rsidP="002C7140">
            <w:pPr>
              <w:rPr>
                <w:color w:val="000000"/>
              </w:rPr>
            </w:pPr>
            <w:r w:rsidRPr="007D47D4">
              <w:rPr>
                <w:color w:val="000000"/>
              </w:rPr>
              <w:t>Pfizer (Ticker: PFE)</w:t>
            </w:r>
          </w:p>
        </w:tc>
        <w:tc>
          <w:tcPr>
            <w:tcW w:w="1576" w:type="dxa"/>
            <w:tcBorders>
              <w:left w:val="single" w:sz="4" w:space="0" w:color="auto"/>
              <w:right w:val="nil"/>
            </w:tcBorders>
            <w:shd w:val="clear" w:color="auto" w:fill="auto"/>
            <w:noWrap/>
            <w:vAlign w:val="bottom"/>
          </w:tcPr>
          <w:p w14:paraId="57F62639" w14:textId="77777777" w:rsidR="00421626" w:rsidRPr="007D47D4" w:rsidRDefault="00421626" w:rsidP="002C7140">
            <w:pPr>
              <w:jc w:val="center"/>
            </w:pPr>
            <w:r w:rsidRPr="007D47D4">
              <w:t>3.32%</w:t>
            </w:r>
          </w:p>
        </w:tc>
        <w:tc>
          <w:tcPr>
            <w:tcW w:w="1456" w:type="dxa"/>
            <w:gridSpan w:val="3"/>
            <w:tcBorders>
              <w:left w:val="nil"/>
              <w:right w:val="nil"/>
            </w:tcBorders>
            <w:shd w:val="clear" w:color="auto" w:fill="auto"/>
            <w:noWrap/>
            <w:vAlign w:val="bottom"/>
          </w:tcPr>
          <w:p w14:paraId="1925358C" w14:textId="77777777" w:rsidR="00421626" w:rsidRPr="007D47D4" w:rsidRDefault="00421626" w:rsidP="002C7140">
            <w:pPr>
              <w:jc w:val="center"/>
            </w:pPr>
            <w:r w:rsidRPr="007D47D4">
              <w:t>10.22%</w:t>
            </w:r>
          </w:p>
        </w:tc>
        <w:tc>
          <w:tcPr>
            <w:tcW w:w="1075" w:type="dxa"/>
            <w:gridSpan w:val="2"/>
            <w:tcBorders>
              <w:left w:val="nil"/>
              <w:right w:val="single" w:sz="4" w:space="0" w:color="auto"/>
            </w:tcBorders>
            <w:shd w:val="clear" w:color="auto" w:fill="auto"/>
            <w:noWrap/>
            <w:vAlign w:val="bottom"/>
          </w:tcPr>
          <w:p w14:paraId="4383F15C" w14:textId="77777777" w:rsidR="00421626" w:rsidRPr="007D47D4" w:rsidRDefault="00421626" w:rsidP="002C7140">
            <w:pPr>
              <w:jc w:val="center"/>
            </w:pPr>
            <w:r w:rsidRPr="007D47D4">
              <w:t>0.325</w:t>
            </w:r>
          </w:p>
        </w:tc>
      </w:tr>
      <w:tr w:rsidR="00421626" w:rsidRPr="007D47D4" w14:paraId="51098BD0" w14:textId="77777777" w:rsidTr="002C7140">
        <w:trPr>
          <w:trHeight w:val="300"/>
        </w:trPr>
        <w:tc>
          <w:tcPr>
            <w:tcW w:w="2895" w:type="dxa"/>
            <w:tcBorders>
              <w:left w:val="single" w:sz="4" w:space="0" w:color="auto"/>
              <w:bottom w:val="single" w:sz="4" w:space="0" w:color="auto"/>
              <w:right w:val="single" w:sz="4" w:space="0" w:color="auto"/>
            </w:tcBorders>
            <w:shd w:val="clear" w:color="auto" w:fill="auto"/>
            <w:noWrap/>
            <w:vAlign w:val="bottom"/>
            <w:hideMark/>
          </w:tcPr>
          <w:p w14:paraId="20B52073" w14:textId="77777777" w:rsidR="00421626" w:rsidRPr="007D47D4" w:rsidRDefault="00421626" w:rsidP="002C7140">
            <w:pPr>
              <w:rPr>
                <w:color w:val="000000"/>
              </w:rPr>
            </w:pPr>
            <w:r w:rsidRPr="007D47D4">
              <w:rPr>
                <w:color w:val="000000"/>
              </w:rPr>
              <w:t>Wal-Mart (Ticker: WMT)</w:t>
            </w:r>
          </w:p>
        </w:tc>
        <w:tc>
          <w:tcPr>
            <w:tcW w:w="1576" w:type="dxa"/>
            <w:tcBorders>
              <w:left w:val="single" w:sz="4" w:space="0" w:color="auto"/>
              <w:bottom w:val="single" w:sz="4" w:space="0" w:color="auto"/>
              <w:right w:val="nil"/>
            </w:tcBorders>
            <w:shd w:val="clear" w:color="auto" w:fill="auto"/>
            <w:noWrap/>
            <w:vAlign w:val="bottom"/>
          </w:tcPr>
          <w:p w14:paraId="5FAA8DC1" w14:textId="77777777" w:rsidR="00421626" w:rsidRPr="007D47D4" w:rsidRDefault="00421626" w:rsidP="002C7140">
            <w:pPr>
              <w:jc w:val="center"/>
            </w:pPr>
            <w:r w:rsidRPr="007D47D4">
              <w:t>6.95%</w:t>
            </w:r>
          </w:p>
        </w:tc>
        <w:tc>
          <w:tcPr>
            <w:tcW w:w="1456" w:type="dxa"/>
            <w:gridSpan w:val="3"/>
            <w:tcBorders>
              <w:left w:val="nil"/>
              <w:bottom w:val="single" w:sz="4" w:space="0" w:color="auto"/>
              <w:right w:val="nil"/>
            </w:tcBorders>
            <w:shd w:val="clear" w:color="auto" w:fill="auto"/>
            <w:noWrap/>
            <w:vAlign w:val="bottom"/>
          </w:tcPr>
          <w:p w14:paraId="2D0D04E0" w14:textId="77777777" w:rsidR="00421626" w:rsidRPr="007D47D4" w:rsidRDefault="00421626" w:rsidP="002C7140">
            <w:pPr>
              <w:jc w:val="center"/>
            </w:pPr>
            <w:r w:rsidRPr="007D47D4">
              <w:t>18.15%</w:t>
            </w:r>
          </w:p>
        </w:tc>
        <w:tc>
          <w:tcPr>
            <w:tcW w:w="1075" w:type="dxa"/>
            <w:gridSpan w:val="2"/>
            <w:tcBorders>
              <w:left w:val="nil"/>
              <w:bottom w:val="single" w:sz="4" w:space="0" w:color="auto"/>
              <w:right w:val="single" w:sz="4" w:space="0" w:color="auto"/>
            </w:tcBorders>
            <w:shd w:val="clear" w:color="auto" w:fill="auto"/>
            <w:noWrap/>
            <w:vAlign w:val="bottom"/>
          </w:tcPr>
          <w:p w14:paraId="6780BE18" w14:textId="77777777" w:rsidR="00421626" w:rsidRPr="007D47D4" w:rsidRDefault="00421626" w:rsidP="002C7140">
            <w:pPr>
              <w:jc w:val="center"/>
            </w:pPr>
            <w:r w:rsidRPr="007D47D4">
              <w:t>0.383</w:t>
            </w:r>
          </w:p>
        </w:tc>
      </w:tr>
    </w:tbl>
    <w:p w14:paraId="76459662" w14:textId="77777777" w:rsidR="00421626" w:rsidRPr="007D47D4" w:rsidRDefault="00421626" w:rsidP="00421626">
      <w:pPr>
        <w:spacing w:after="200" w:line="276" w:lineRule="auto"/>
        <w:rPr>
          <w:b/>
          <w:bCs/>
          <w:color w:val="000000"/>
        </w:rPr>
      </w:pPr>
    </w:p>
    <w:p w14:paraId="197013A2" w14:textId="0EB3C7EA" w:rsidR="00C21347" w:rsidRPr="007D47D4" w:rsidRDefault="006F6FAD" w:rsidP="00FB05CD">
      <w:pPr>
        <w:ind w:firstLine="720"/>
        <w:jc w:val="both"/>
        <w:rPr>
          <w:bCs/>
          <w:kern w:val="32"/>
        </w:rPr>
      </w:pPr>
      <w:r w:rsidRPr="007D47D4">
        <w:rPr>
          <w:bCs/>
          <w:kern w:val="32"/>
        </w:rPr>
        <w:lastRenderedPageBreak/>
        <w:t>For firms with low book</w:t>
      </w:r>
      <w:r w:rsidR="00E6361B" w:rsidRPr="007D47D4">
        <w:rPr>
          <w:bCs/>
          <w:kern w:val="32"/>
        </w:rPr>
        <w:t>-</w:t>
      </w:r>
      <w:r w:rsidRPr="007D47D4">
        <w:rPr>
          <w:bCs/>
          <w:kern w:val="32"/>
        </w:rPr>
        <w:t>to</w:t>
      </w:r>
      <w:r w:rsidR="004E01BE" w:rsidRPr="007D47D4">
        <w:rPr>
          <w:bCs/>
          <w:kern w:val="32"/>
        </w:rPr>
        <w:t>-</w:t>
      </w:r>
      <w:r w:rsidRPr="007D47D4">
        <w:rPr>
          <w:bCs/>
          <w:kern w:val="32"/>
        </w:rPr>
        <w:t>market</w:t>
      </w:r>
      <w:r w:rsidR="00E6361B" w:rsidRPr="007D47D4">
        <w:rPr>
          <w:bCs/>
          <w:kern w:val="32"/>
        </w:rPr>
        <w:t xml:space="preserve"> ratios such as</w:t>
      </w:r>
      <w:r w:rsidRPr="007D47D4">
        <w:rPr>
          <w:bCs/>
          <w:kern w:val="32"/>
        </w:rPr>
        <w:t xml:space="preserve"> Wal</w:t>
      </w:r>
      <w:r w:rsidR="004E01BE" w:rsidRPr="007D47D4">
        <w:rPr>
          <w:bCs/>
          <w:kern w:val="32"/>
        </w:rPr>
        <w:t>-M</w:t>
      </w:r>
      <w:r w:rsidRPr="007D47D4">
        <w:rPr>
          <w:bCs/>
          <w:kern w:val="32"/>
        </w:rPr>
        <w:t>art, Apple, and Pfizer,</w:t>
      </w:r>
      <w:r w:rsidR="00E6361B" w:rsidRPr="007D47D4">
        <w:rPr>
          <w:bCs/>
          <w:kern w:val="32"/>
        </w:rPr>
        <w:t xml:space="preserve"> though</w:t>
      </w:r>
      <w:r w:rsidRPr="007D47D4">
        <w:rPr>
          <w:bCs/>
          <w:kern w:val="32"/>
        </w:rPr>
        <w:t xml:space="preserve"> ROE is high, the </w:t>
      </w:r>
      <w:r w:rsidR="00BE7922" w:rsidRPr="007D47D4">
        <w:rPr>
          <w:bCs/>
          <w:kern w:val="32"/>
        </w:rPr>
        <w:t>actual return to stockholders is dramatically lower</w:t>
      </w:r>
      <w:r w:rsidRPr="007D47D4">
        <w:rPr>
          <w:bCs/>
          <w:kern w:val="32"/>
        </w:rPr>
        <w:t>. These firms each have a</w:t>
      </w:r>
      <w:r w:rsidR="00E6361B" w:rsidRPr="007D47D4">
        <w:rPr>
          <w:bCs/>
          <w:kern w:val="32"/>
        </w:rPr>
        <w:t>t least one</w:t>
      </w:r>
      <w:r w:rsidRPr="007D47D4">
        <w:rPr>
          <w:bCs/>
          <w:kern w:val="32"/>
        </w:rPr>
        <w:t xml:space="preserve"> prominent source of intangible assets. Walmart has a large amount of A&amp;M which has created and maintained brand loyalty; Apple has a</w:t>
      </w:r>
      <w:r w:rsidR="00C21347" w:rsidRPr="007D47D4">
        <w:rPr>
          <w:bCs/>
          <w:kern w:val="32"/>
        </w:rPr>
        <w:t xml:space="preserve"> vast</w:t>
      </w:r>
      <w:r w:rsidRPr="007D47D4">
        <w:rPr>
          <w:bCs/>
          <w:kern w:val="32"/>
        </w:rPr>
        <w:t xml:space="preserve"> portfolio of intangible</w:t>
      </w:r>
      <w:r w:rsidR="00E6361B" w:rsidRPr="007D47D4">
        <w:rPr>
          <w:bCs/>
          <w:kern w:val="32"/>
        </w:rPr>
        <w:t xml:space="preserve"> assets</w:t>
      </w:r>
      <w:r w:rsidRPr="007D47D4">
        <w:rPr>
          <w:bCs/>
          <w:kern w:val="32"/>
        </w:rPr>
        <w:t xml:space="preserve"> span</w:t>
      </w:r>
      <w:r w:rsidR="00E6361B" w:rsidRPr="007D47D4">
        <w:rPr>
          <w:bCs/>
          <w:kern w:val="32"/>
        </w:rPr>
        <w:t>ning</w:t>
      </w:r>
      <w:r w:rsidRPr="007D47D4">
        <w:rPr>
          <w:bCs/>
          <w:kern w:val="32"/>
        </w:rPr>
        <w:t xml:space="preserve"> patents, software, intellectual capital, among others; and Pfizer is a classic example from the healthcare industry that has </w:t>
      </w:r>
      <w:r w:rsidR="00E6361B" w:rsidRPr="007D47D4">
        <w:rPr>
          <w:bCs/>
          <w:kern w:val="32"/>
        </w:rPr>
        <w:t xml:space="preserve">high </w:t>
      </w:r>
      <w:r w:rsidRPr="007D47D4">
        <w:rPr>
          <w:bCs/>
          <w:kern w:val="32"/>
        </w:rPr>
        <w:t>intangibles throughout the R&amp;D pipeline. F</w:t>
      </w:r>
      <w:r w:rsidR="00BE7922" w:rsidRPr="007D47D4">
        <w:rPr>
          <w:bCs/>
          <w:kern w:val="32"/>
        </w:rPr>
        <w:t>or Citigroup on the other hand, actual return to shareholde</w:t>
      </w:r>
      <w:r w:rsidRPr="007D47D4">
        <w:rPr>
          <w:bCs/>
          <w:kern w:val="32"/>
        </w:rPr>
        <w:t>rs is higher than ROE indicates. Citigroup is one of an increasingly small number of firms in the US stock market which has a high book-to-market ratio. This high book-to-market is not just evidence of a low amount of intangibles</w:t>
      </w:r>
      <w:r w:rsidR="00E6361B" w:rsidRPr="007D47D4">
        <w:rPr>
          <w:bCs/>
          <w:kern w:val="32"/>
        </w:rPr>
        <w:t>,</w:t>
      </w:r>
      <w:r w:rsidRPr="007D47D4">
        <w:rPr>
          <w:bCs/>
          <w:kern w:val="32"/>
        </w:rPr>
        <w:t xml:space="preserve"> but also reflect</w:t>
      </w:r>
      <w:r w:rsidR="00E6361B" w:rsidRPr="007D47D4">
        <w:rPr>
          <w:bCs/>
          <w:kern w:val="32"/>
        </w:rPr>
        <w:t>s</w:t>
      </w:r>
      <w:r w:rsidRPr="007D47D4">
        <w:rPr>
          <w:bCs/>
          <w:kern w:val="32"/>
        </w:rPr>
        <w:t xml:space="preserve"> </w:t>
      </w:r>
      <w:r w:rsidR="00E6361B" w:rsidRPr="007D47D4">
        <w:rPr>
          <w:bCs/>
          <w:kern w:val="32"/>
        </w:rPr>
        <w:t>the delayed accounting recognition of bad assets,</w:t>
      </w:r>
      <w:r w:rsidR="00A92215" w:rsidRPr="007D47D4">
        <w:rPr>
          <w:bCs/>
          <w:kern w:val="32"/>
        </w:rPr>
        <w:t xml:space="preserve"> </w:t>
      </w:r>
      <w:r w:rsidR="00E6361B" w:rsidRPr="007D47D4">
        <w:rPr>
          <w:bCs/>
          <w:kern w:val="32"/>
        </w:rPr>
        <w:t xml:space="preserve">the negative </w:t>
      </w:r>
      <w:r w:rsidRPr="007D47D4">
        <w:rPr>
          <w:bCs/>
          <w:kern w:val="32"/>
        </w:rPr>
        <w:t>investor sentiment</w:t>
      </w:r>
      <w:r w:rsidR="00E6361B" w:rsidRPr="007D47D4">
        <w:rPr>
          <w:bCs/>
          <w:kern w:val="32"/>
        </w:rPr>
        <w:t xml:space="preserve"> for banking stocks</w:t>
      </w:r>
      <w:r w:rsidRPr="007D47D4">
        <w:rPr>
          <w:bCs/>
          <w:kern w:val="32"/>
        </w:rPr>
        <w:t xml:space="preserve"> following the financial crisis</w:t>
      </w:r>
      <w:r w:rsidR="00E6361B" w:rsidRPr="007D47D4">
        <w:rPr>
          <w:bCs/>
          <w:kern w:val="32"/>
        </w:rPr>
        <w:t>,</w:t>
      </w:r>
      <w:r w:rsidRPr="007D47D4">
        <w:rPr>
          <w:bCs/>
          <w:kern w:val="32"/>
        </w:rPr>
        <w:t xml:space="preserve"> and </w:t>
      </w:r>
      <w:r w:rsidR="00E6361B" w:rsidRPr="007D47D4">
        <w:rPr>
          <w:bCs/>
          <w:kern w:val="32"/>
        </w:rPr>
        <w:t>various other accounting differences for</w:t>
      </w:r>
      <w:r w:rsidRPr="007D47D4">
        <w:rPr>
          <w:bCs/>
          <w:kern w:val="32"/>
        </w:rPr>
        <w:t xml:space="preserve"> financial firms.</w:t>
      </w:r>
      <w:r w:rsidR="00BE7922" w:rsidRPr="007D47D4">
        <w:rPr>
          <w:bCs/>
          <w:kern w:val="32"/>
        </w:rPr>
        <w:t xml:space="preserve"> Chevron shareholder actual returns</w:t>
      </w:r>
      <w:r w:rsidR="00C21347" w:rsidRPr="007D47D4">
        <w:rPr>
          <w:bCs/>
          <w:kern w:val="32"/>
        </w:rPr>
        <w:t>, measured by ROME,</w:t>
      </w:r>
      <w:r w:rsidR="00BE7922" w:rsidRPr="007D47D4">
        <w:rPr>
          <w:bCs/>
          <w:kern w:val="32"/>
        </w:rPr>
        <w:t xml:space="preserve"> are about the same as</w:t>
      </w:r>
      <w:r w:rsidRPr="007D47D4">
        <w:rPr>
          <w:bCs/>
          <w:kern w:val="32"/>
        </w:rPr>
        <w:t xml:space="preserve"> </w:t>
      </w:r>
      <w:r w:rsidR="00E6361B" w:rsidRPr="007D47D4">
        <w:rPr>
          <w:bCs/>
          <w:kern w:val="32"/>
        </w:rPr>
        <w:t xml:space="preserve">indicated by </w:t>
      </w:r>
      <w:r w:rsidRPr="007D47D4">
        <w:rPr>
          <w:bCs/>
          <w:kern w:val="32"/>
        </w:rPr>
        <w:t>ROE, which would be the case for all firms whose book</w:t>
      </w:r>
      <w:r w:rsidR="00E6361B" w:rsidRPr="007D47D4">
        <w:rPr>
          <w:bCs/>
          <w:kern w:val="32"/>
        </w:rPr>
        <w:t>-</w:t>
      </w:r>
      <w:r w:rsidRPr="007D47D4">
        <w:rPr>
          <w:bCs/>
          <w:kern w:val="32"/>
        </w:rPr>
        <w:t>to</w:t>
      </w:r>
      <w:r w:rsidR="00E6361B" w:rsidRPr="007D47D4">
        <w:rPr>
          <w:bCs/>
          <w:kern w:val="32"/>
        </w:rPr>
        <w:t>-</w:t>
      </w:r>
      <w:r w:rsidRPr="007D47D4">
        <w:rPr>
          <w:bCs/>
          <w:kern w:val="32"/>
        </w:rPr>
        <w:t xml:space="preserve">market </w:t>
      </w:r>
      <w:r w:rsidR="00E6361B" w:rsidRPr="007D47D4">
        <w:rPr>
          <w:bCs/>
          <w:kern w:val="32"/>
        </w:rPr>
        <w:t>ratio</w:t>
      </w:r>
      <w:r w:rsidR="004E01BE" w:rsidRPr="007D47D4">
        <w:rPr>
          <w:bCs/>
          <w:kern w:val="32"/>
        </w:rPr>
        <w:t>s</w:t>
      </w:r>
      <w:r w:rsidR="00E6361B" w:rsidRPr="007D47D4">
        <w:rPr>
          <w:bCs/>
          <w:kern w:val="32"/>
        </w:rPr>
        <w:t xml:space="preserve"> </w:t>
      </w:r>
      <w:r w:rsidRPr="007D47D4">
        <w:rPr>
          <w:bCs/>
          <w:kern w:val="32"/>
        </w:rPr>
        <w:t>hover</w:t>
      </w:r>
      <w:r w:rsidR="004E01BE" w:rsidRPr="007D47D4">
        <w:rPr>
          <w:bCs/>
          <w:kern w:val="32"/>
        </w:rPr>
        <w:t>s</w:t>
      </w:r>
      <w:r w:rsidRPr="007D47D4">
        <w:rPr>
          <w:bCs/>
          <w:kern w:val="32"/>
        </w:rPr>
        <w:t xml:space="preserve"> around one. </w:t>
      </w:r>
    </w:p>
    <w:p w14:paraId="7BADDF3A" w14:textId="190A899C" w:rsidR="00710D65" w:rsidRPr="007D47D4" w:rsidRDefault="00BE7922" w:rsidP="00FB05CD">
      <w:pPr>
        <w:ind w:firstLine="720"/>
        <w:jc w:val="both"/>
        <w:rPr>
          <w:bCs/>
          <w:kern w:val="32"/>
        </w:rPr>
      </w:pPr>
      <w:r w:rsidRPr="007D47D4">
        <w:rPr>
          <w:bCs/>
          <w:kern w:val="32"/>
        </w:rPr>
        <w:t>We also examine the impact of the use of ROME versus ROE for all industry sectors.</w:t>
      </w:r>
      <w:r w:rsidR="00C21347" w:rsidRPr="007D47D4">
        <w:rPr>
          <w:bCs/>
          <w:kern w:val="32"/>
        </w:rPr>
        <w:t xml:space="preserve"> First in Table 2, we compute the average ROE and DuPont components for each industry sector and rank them by ROE for year-end 2015 with data obtained from FactSet. This initial screen of sectors reveal</w:t>
      </w:r>
      <w:r w:rsidR="00E6361B" w:rsidRPr="007D47D4">
        <w:rPr>
          <w:bCs/>
          <w:kern w:val="32"/>
        </w:rPr>
        <w:t>s</w:t>
      </w:r>
      <w:r w:rsidR="00C21347" w:rsidRPr="007D47D4">
        <w:rPr>
          <w:bCs/>
          <w:kern w:val="32"/>
        </w:rPr>
        <w:t xml:space="preserve"> that Transportation, Consumer Non-Durables, Electronic Technology, and Retail Trade would be the highest ranked sectors and most desirable for investment. </w:t>
      </w:r>
    </w:p>
    <w:p w14:paraId="5BF49D6C" w14:textId="77777777" w:rsidR="00C66BC7" w:rsidRDefault="00C66BC7" w:rsidP="00C66BC7">
      <w:pPr>
        <w:keepNext/>
        <w:keepLines/>
        <w:outlineLvl w:val="0"/>
        <w:rPr>
          <w:b/>
          <w:bCs/>
          <w:color w:val="000000"/>
        </w:rPr>
      </w:pPr>
    </w:p>
    <w:p w14:paraId="794084D4" w14:textId="77777777" w:rsidR="00C66BC7" w:rsidRPr="007D47D4" w:rsidRDefault="00C66BC7" w:rsidP="00C66BC7">
      <w:pPr>
        <w:keepNext/>
        <w:keepLines/>
        <w:jc w:val="center"/>
        <w:outlineLvl w:val="0"/>
        <w:rPr>
          <w:b/>
          <w:bCs/>
          <w:color w:val="000000"/>
        </w:rPr>
      </w:pPr>
      <w:r w:rsidRPr="007D47D4">
        <w:rPr>
          <w:b/>
          <w:bCs/>
          <w:color w:val="000000"/>
        </w:rPr>
        <w:t xml:space="preserve">Table 2: DuPont Analysis of </w:t>
      </w:r>
      <w:proofErr w:type="gramStart"/>
      <w:r w:rsidRPr="007D47D4">
        <w:rPr>
          <w:b/>
          <w:bCs/>
          <w:color w:val="000000"/>
        </w:rPr>
        <w:t>The</w:t>
      </w:r>
      <w:proofErr w:type="gramEnd"/>
      <w:r w:rsidRPr="007D47D4">
        <w:rPr>
          <w:b/>
          <w:bCs/>
          <w:color w:val="000000"/>
        </w:rPr>
        <w:t xml:space="preserve"> Traditional ROE</w:t>
      </w:r>
    </w:p>
    <w:p w14:paraId="3B34A73C" w14:textId="77777777" w:rsidR="00C66BC7" w:rsidRPr="007D47D4" w:rsidRDefault="00C66BC7" w:rsidP="00C66BC7">
      <w:pPr>
        <w:keepNext/>
        <w:keepLines/>
        <w:outlineLvl w:val="0"/>
        <w:rPr>
          <w:bCs/>
          <w:i/>
          <w:kern w:val="32"/>
        </w:rPr>
      </w:pPr>
      <w:r w:rsidRPr="007D47D4">
        <w:rPr>
          <w:bCs/>
          <w:i/>
          <w:kern w:val="32"/>
        </w:rPr>
        <w:t xml:space="preserve">Return on Equity (ROE) is defined as the ratio of Net Income from Continuing Operations to Average Total Common Equity, Profit Margin (PM) is the ratio of Net Income from Continuing Operations to Sales, Asset Turnover (TATO) is the ratio of Sales to Average Total Assets, and Equity Multiplier (EM) is the ratio of Average Total Assets to Average Total Common Equity. Data is obtained for all industry sectors listed in </w:t>
      </w:r>
      <w:proofErr w:type="spellStart"/>
      <w:r w:rsidRPr="007D47D4">
        <w:rPr>
          <w:bCs/>
          <w:i/>
          <w:kern w:val="32"/>
        </w:rPr>
        <w:t>FactSet</w:t>
      </w:r>
      <w:proofErr w:type="spellEnd"/>
      <w:r w:rsidRPr="007D47D4">
        <w:rPr>
          <w:bCs/>
          <w:i/>
          <w:kern w:val="32"/>
        </w:rPr>
        <w:t>. All ratios are for North America for the year ended December 2015.</w:t>
      </w:r>
    </w:p>
    <w:tbl>
      <w:tblPr>
        <w:tblW w:w="8151" w:type="dxa"/>
        <w:tblInd w:w="93" w:type="dxa"/>
        <w:tblLook w:val="04A0" w:firstRow="1" w:lastRow="0" w:firstColumn="1" w:lastColumn="0" w:noHBand="0" w:noVBand="1"/>
      </w:tblPr>
      <w:tblGrid>
        <w:gridCol w:w="3460"/>
        <w:gridCol w:w="155"/>
        <w:gridCol w:w="568"/>
        <w:gridCol w:w="155"/>
        <w:gridCol w:w="835"/>
        <w:gridCol w:w="161"/>
        <w:gridCol w:w="805"/>
        <w:gridCol w:w="155"/>
        <w:gridCol w:w="805"/>
        <w:gridCol w:w="242"/>
        <w:gridCol w:w="718"/>
        <w:gridCol w:w="92"/>
      </w:tblGrid>
      <w:tr w:rsidR="00C66BC7" w:rsidRPr="007D47D4" w14:paraId="2AD1297B" w14:textId="77777777" w:rsidTr="00D76C5B">
        <w:trPr>
          <w:gridAfter w:val="1"/>
          <w:wAfter w:w="92" w:type="dxa"/>
          <w:trHeight w:val="300"/>
        </w:trPr>
        <w:tc>
          <w:tcPr>
            <w:tcW w:w="3460" w:type="dxa"/>
            <w:tcBorders>
              <w:top w:val="nil"/>
              <w:left w:val="nil"/>
              <w:bottom w:val="nil"/>
              <w:right w:val="nil"/>
            </w:tcBorders>
            <w:shd w:val="clear" w:color="auto" w:fill="auto"/>
            <w:noWrap/>
            <w:vAlign w:val="bottom"/>
          </w:tcPr>
          <w:p w14:paraId="6E008A20" w14:textId="77777777" w:rsidR="00C66BC7" w:rsidRPr="007D47D4" w:rsidRDefault="00C66BC7" w:rsidP="002C7140">
            <w:pPr>
              <w:rPr>
                <w:b/>
                <w:bCs/>
                <w:color w:val="000000"/>
              </w:rPr>
            </w:pPr>
          </w:p>
        </w:tc>
        <w:tc>
          <w:tcPr>
            <w:tcW w:w="723" w:type="dxa"/>
            <w:gridSpan w:val="2"/>
            <w:tcBorders>
              <w:top w:val="nil"/>
              <w:left w:val="nil"/>
              <w:bottom w:val="nil"/>
              <w:right w:val="nil"/>
            </w:tcBorders>
            <w:shd w:val="clear" w:color="auto" w:fill="auto"/>
            <w:noWrap/>
            <w:vAlign w:val="bottom"/>
            <w:hideMark/>
          </w:tcPr>
          <w:p w14:paraId="25BFEBF5" w14:textId="77777777" w:rsidR="00C66BC7" w:rsidRPr="007D47D4" w:rsidRDefault="00C66BC7" w:rsidP="002C7140">
            <w:pPr>
              <w:rPr>
                <w:b/>
                <w:bCs/>
                <w:color w:val="000000"/>
              </w:rPr>
            </w:pPr>
          </w:p>
        </w:tc>
        <w:tc>
          <w:tcPr>
            <w:tcW w:w="990" w:type="dxa"/>
            <w:gridSpan w:val="2"/>
            <w:tcBorders>
              <w:top w:val="nil"/>
              <w:left w:val="nil"/>
              <w:bottom w:val="nil"/>
              <w:right w:val="nil"/>
            </w:tcBorders>
            <w:shd w:val="clear" w:color="auto" w:fill="auto"/>
            <w:noWrap/>
            <w:vAlign w:val="bottom"/>
            <w:hideMark/>
          </w:tcPr>
          <w:p w14:paraId="4ECBD2EC" w14:textId="77777777" w:rsidR="00C66BC7" w:rsidRPr="007D47D4" w:rsidRDefault="00C66BC7" w:rsidP="002C7140">
            <w:pPr>
              <w:rPr>
                <w:color w:val="000000"/>
              </w:rPr>
            </w:pPr>
          </w:p>
        </w:tc>
        <w:tc>
          <w:tcPr>
            <w:tcW w:w="966" w:type="dxa"/>
            <w:gridSpan w:val="2"/>
            <w:tcBorders>
              <w:top w:val="nil"/>
              <w:left w:val="nil"/>
              <w:bottom w:val="nil"/>
              <w:right w:val="nil"/>
            </w:tcBorders>
            <w:shd w:val="clear" w:color="auto" w:fill="auto"/>
            <w:noWrap/>
            <w:vAlign w:val="bottom"/>
            <w:hideMark/>
          </w:tcPr>
          <w:p w14:paraId="7C67750F" w14:textId="77777777" w:rsidR="00C66BC7" w:rsidRPr="007D47D4" w:rsidRDefault="00C66BC7" w:rsidP="002C7140">
            <w:pPr>
              <w:rPr>
                <w:color w:val="000000"/>
              </w:rPr>
            </w:pPr>
          </w:p>
        </w:tc>
        <w:tc>
          <w:tcPr>
            <w:tcW w:w="960" w:type="dxa"/>
            <w:gridSpan w:val="2"/>
            <w:tcBorders>
              <w:top w:val="nil"/>
              <w:left w:val="nil"/>
              <w:bottom w:val="nil"/>
              <w:right w:val="nil"/>
            </w:tcBorders>
            <w:shd w:val="clear" w:color="auto" w:fill="auto"/>
            <w:noWrap/>
            <w:vAlign w:val="bottom"/>
            <w:hideMark/>
          </w:tcPr>
          <w:p w14:paraId="2802ABAC" w14:textId="77777777" w:rsidR="00C66BC7" w:rsidRPr="007D47D4" w:rsidRDefault="00C66BC7" w:rsidP="002C7140">
            <w:pPr>
              <w:rPr>
                <w:color w:val="000000"/>
              </w:rPr>
            </w:pPr>
          </w:p>
        </w:tc>
        <w:tc>
          <w:tcPr>
            <w:tcW w:w="960" w:type="dxa"/>
            <w:gridSpan w:val="2"/>
            <w:tcBorders>
              <w:top w:val="nil"/>
              <w:left w:val="nil"/>
              <w:bottom w:val="nil"/>
              <w:right w:val="nil"/>
            </w:tcBorders>
            <w:shd w:val="clear" w:color="auto" w:fill="auto"/>
            <w:noWrap/>
            <w:vAlign w:val="bottom"/>
            <w:hideMark/>
          </w:tcPr>
          <w:p w14:paraId="0980BCA1" w14:textId="77777777" w:rsidR="00C66BC7" w:rsidRPr="007D47D4" w:rsidRDefault="00C66BC7" w:rsidP="002C7140">
            <w:pPr>
              <w:rPr>
                <w:color w:val="000000"/>
              </w:rPr>
            </w:pPr>
          </w:p>
        </w:tc>
      </w:tr>
      <w:tr w:rsidR="00C66BC7" w:rsidRPr="007D47D4" w14:paraId="2D3BCEE7" w14:textId="77777777" w:rsidTr="00D76C5B">
        <w:trPr>
          <w:trHeight w:val="300"/>
        </w:trPr>
        <w:tc>
          <w:tcPr>
            <w:tcW w:w="36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127FB" w14:textId="77777777" w:rsidR="00C66BC7" w:rsidRPr="007D47D4" w:rsidRDefault="00C66BC7" w:rsidP="002C7140">
            <w:r w:rsidRPr="007D47D4">
              <w:t> </w:t>
            </w:r>
          </w:p>
        </w:tc>
        <w:tc>
          <w:tcPr>
            <w:tcW w:w="723" w:type="dxa"/>
            <w:gridSpan w:val="2"/>
            <w:tcBorders>
              <w:top w:val="single" w:sz="4" w:space="0" w:color="auto"/>
              <w:left w:val="nil"/>
              <w:bottom w:val="single" w:sz="4" w:space="0" w:color="auto"/>
              <w:right w:val="nil"/>
            </w:tcBorders>
            <w:shd w:val="clear" w:color="auto" w:fill="auto"/>
            <w:noWrap/>
            <w:vAlign w:val="bottom"/>
            <w:hideMark/>
          </w:tcPr>
          <w:p w14:paraId="39D788EC" w14:textId="77777777" w:rsidR="00C66BC7" w:rsidRPr="007D47D4" w:rsidRDefault="00C66BC7" w:rsidP="002C7140">
            <w:pPr>
              <w:jc w:val="center"/>
            </w:pPr>
            <w:r w:rsidRPr="007D47D4">
              <w:t>Rank</w:t>
            </w:r>
          </w:p>
        </w:tc>
        <w:tc>
          <w:tcPr>
            <w:tcW w:w="996" w:type="dxa"/>
            <w:gridSpan w:val="2"/>
            <w:tcBorders>
              <w:top w:val="single" w:sz="4" w:space="0" w:color="auto"/>
              <w:left w:val="single" w:sz="4" w:space="0" w:color="auto"/>
              <w:bottom w:val="single" w:sz="4" w:space="0" w:color="auto"/>
              <w:right w:val="nil"/>
            </w:tcBorders>
            <w:shd w:val="clear" w:color="auto" w:fill="auto"/>
            <w:noWrap/>
            <w:vAlign w:val="bottom"/>
            <w:hideMark/>
          </w:tcPr>
          <w:p w14:paraId="1CAC9D2E" w14:textId="77777777" w:rsidR="00C66BC7" w:rsidRPr="007D47D4" w:rsidRDefault="00C66BC7" w:rsidP="002C7140">
            <w:pPr>
              <w:jc w:val="center"/>
              <w:rPr>
                <w:b/>
              </w:rPr>
            </w:pPr>
            <w:r w:rsidRPr="007D47D4">
              <w:rPr>
                <w:b/>
              </w:rPr>
              <w:t>ROE  =</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2516A037" w14:textId="77777777" w:rsidR="00C66BC7" w:rsidRPr="007D47D4" w:rsidRDefault="00C66BC7" w:rsidP="002C7140">
            <w:pPr>
              <w:jc w:val="center"/>
            </w:pPr>
            <w:r w:rsidRPr="007D47D4">
              <w:t>PM  x</w:t>
            </w:r>
          </w:p>
        </w:tc>
        <w:tc>
          <w:tcPr>
            <w:tcW w:w="1047" w:type="dxa"/>
            <w:gridSpan w:val="2"/>
            <w:tcBorders>
              <w:top w:val="single" w:sz="4" w:space="0" w:color="auto"/>
              <w:left w:val="nil"/>
              <w:bottom w:val="single" w:sz="4" w:space="0" w:color="auto"/>
              <w:right w:val="nil"/>
            </w:tcBorders>
            <w:shd w:val="clear" w:color="auto" w:fill="auto"/>
            <w:noWrap/>
            <w:vAlign w:val="bottom"/>
            <w:hideMark/>
          </w:tcPr>
          <w:p w14:paraId="700D21CA" w14:textId="77777777" w:rsidR="00C66BC7" w:rsidRPr="007D47D4" w:rsidRDefault="00C66BC7" w:rsidP="002C7140">
            <w:pPr>
              <w:jc w:val="center"/>
            </w:pPr>
            <w:r w:rsidRPr="007D47D4">
              <w:t>TATO  x</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D62AFC" w14:textId="77777777" w:rsidR="00C66BC7" w:rsidRPr="007D47D4" w:rsidRDefault="00C66BC7" w:rsidP="002C7140">
            <w:pPr>
              <w:jc w:val="center"/>
            </w:pPr>
            <w:r w:rsidRPr="007D47D4">
              <w:t>EM</w:t>
            </w:r>
          </w:p>
        </w:tc>
      </w:tr>
      <w:tr w:rsidR="00C66BC7" w:rsidRPr="007D47D4" w14:paraId="0316DC57"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6A7D4716" w14:textId="77777777" w:rsidR="00C66BC7" w:rsidRPr="007D47D4" w:rsidRDefault="00C66BC7" w:rsidP="002C7140">
            <w:r w:rsidRPr="007D47D4">
              <w:t>Transportation</w:t>
            </w:r>
          </w:p>
        </w:tc>
        <w:tc>
          <w:tcPr>
            <w:tcW w:w="723" w:type="dxa"/>
            <w:gridSpan w:val="2"/>
            <w:tcBorders>
              <w:top w:val="nil"/>
              <w:left w:val="nil"/>
              <w:bottom w:val="nil"/>
              <w:right w:val="nil"/>
            </w:tcBorders>
            <w:shd w:val="clear" w:color="auto" w:fill="auto"/>
            <w:noWrap/>
            <w:vAlign w:val="bottom"/>
            <w:hideMark/>
          </w:tcPr>
          <w:p w14:paraId="631D08A8" w14:textId="77777777" w:rsidR="00C66BC7" w:rsidRPr="007D47D4" w:rsidRDefault="00C66BC7" w:rsidP="002C7140">
            <w:pPr>
              <w:jc w:val="center"/>
            </w:pPr>
            <w:r w:rsidRPr="007D47D4">
              <w:t>1</w:t>
            </w:r>
          </w:p>
        </w:tc>
        <w:tc>
          <w:tcPr>
            <w:tcW w:w="996" w:type="dxa"/>
            <w:gridSpan w:val="2"/>
            <w:tcBorders>
              <w:top w:val="nil"/>
              <w:left w:val="single" w:sz="4" w:space="0" w:color="auto"/>
              <w:bottom w:val="nil"/>
              <w:right w:val="nil"/>
            </w:tcBorders>
            <w:shd w:val="clear" w:color="auto" w:fill="auto"/>
            <w:noWrap/>
            <w:vAlign w:val="bottom"/>
            <w:hideMark/>
          </w:tcPr>
          <w:p w14:paraId="6BE203EC" w14:textId="77777777" w:rsidR="00C66BC7" w:rsidRPr="007D47D4" w:rsidRDefault="00C66BC7" w:rsidP="002C7140">
            <w:pPr>
              <w:jc w:val="center"/>
              <w:rPr>
                <w:b/>
              </w:rPr>
            </w:pPr>
            <w:r w:rsidRPr="007D47D4">
              <w:rPr>
                <w:b/>
              </w:rPr>
              <w:t>25.88%</w:t>
            </w:r>
          </w:p>
        </w:tc>
        <w:tc>
          <w:tcPr>
            <w:tcW w:w="960" w:type="dxa"/>
            <w:gridSpan w:val="2"/>
            <w:tcBorders>
              <w:top w:val="nil"/>
              <w:left w:val="nil"/>
              <w:bottom w:val="nil"/>
              <w:right w:val="nil"/>
            </w:tcBorders>
            <w:shd w:val="clear" w:color="auto" w:fill="auto"/>
            <w:noWrap/>
            <w:vAlign w:val="bottom"/>
            <w:hideMark/>
          </w:tcPr>
          <w:p w14:paraId="58BD6E58" w14:textId="77777777" w:rsidR="00C66BC7" w:rsidRPr="007D47D4" w:rsidRDefault="00C66BC7" w:rsidP="002C7140">
            <w:pPr>
              <w:jc w:val="center"/>
            </w:pPr>
            <w:r w:rsidRPr="007D47D4">
              <w:t>10.28%</w:t>
            </w:r>
          </w:p>
        </w:tc>
        <w:tc>
          <w:tcPr>
            <w:tcW w:w="1047" w:type="dxa"/>
            <w:gridSpan w:val="2"/>
            <w:tcBorders>
              <w:top w:val="nil"/>
              <w:left w:val="nil"/>
              <w:bottom w:val="nil"/>
              <w:right w:val="nil"/>
            </w:tcBorders>
            <w:shd w:val="clear" w:color="auto" w:fill="auto"/>
            <w:noWrap/>
            <w:vAlign w:val="bottom"/>
            <w:hideMark/>
          </w:tcPr>
          <w:p w14:paraId="763EF850" w14:textId="77777777" w:rsidR="00C66BC7" w:rsidRPr="007D47D4" w:rsidRDefault="00C66BC7" w:rsidP="002C7140">
            <w:pPr>
              <w:jc w:val="center"/>
            </w:pPr>
            <w:r w:rsidRPr="007D47D4">
              <w:t>0.74</w:t>
            </w:r>
          </w:p>
        </w:tc>
        <w:tc>
          <w:tcPr>
            <w:tcW w:w="810" w:type="dxa"/>
            <w:gridSpan w:val="2"/>
            <w:tcBorders>
              <w:top w:val="nil"/>
              <w:left w:val="nil"/>
              <w:bottom w:val="nil"/>
              <w:right w:val="single" w:sz="4" w:space="0" w:color="auto"/>
            </w:tcBorders>
            <w:shd w:val="clear" w:color="auto" w:fill="auto"/>
            <w:noWrap/>
            <w:vAlign w:val="bottom"/>
            <w:hideMark/>
          </w:tcPr>
          <w:p w14:paraId="68C906CD" w14:textId="77777777" w:rsidR="00C66BC7" w:rsidRPr="007D47D4" w:rsidRDefault="00C66BC7" w:rsidP="002C7140">
            <w:pPr>
              <w:jc w:val="center"/>
            </w:pPr>
            <w:r w:rsidRPr="007D47D4">
              <w:t>3.415</w:t>
            </w:r>
          </w:p>
        </w:tc>
      </w:tr>
      <w:tr w:rsidR="00C66BC7" w:rsidRPr="007D47D4" w14:paraId="33EF8B7E"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1F0F9E5E" w14:textId="77777777" w:rsidR="00C66BC7" w:rsidRPr="007D47D4" w:rsidRDefault="00C66BC7" w:rsidP="002C7140">
            <w:r w:rsidRPr="007D47D4">
              <w:t>Consumer Non-Durables</w:t>
            </w:r>
          </w:p>
        </w:tc>
        <w:tc>
          <w:tcPr>
            <w:tcW w:w="723" w:type="dxa"/>
            <w:gridSpan w:val="2"/>
            <w:tcBorders>
              <w:top w:val="nil"/>
              <w:left w:val="nil"/>
              <w:bottom w:val="nil"/>
              <w:right w:val="nil"/>
            </w:tcBorders>
            <w:shd w:val="clear" w:color="auto" w:fill="auto"/>
            <w:noWrap/>
            <w:vAlign w:val="bottom"/>
            <w:hideMark/>
          </w:tcPr>
          <w:p w14:paraId="353B4ECC" w14:textId="77777777" w:rsidR="00C66BC7" w:rsidRPr="007D47D4" w:rsidRDefault="00C66BC7" w:rsidP="002C7140">
            <w:pPr>
              <w:jc w:val="center"/>
            </w:pPr>
            <w:r w:rsidRPr="007D47D4">
              <w:t>2</w:t>
            </w:r>
          </w:p>
        </w:tc>
        <w:tc>
          <w:tcPr>
            <w:tcW w:w="996" w:type="dxa"/>
            <w:gridSpan w:val="2"/>
            <w:tcBorders>
              <w:top w:val="nil"/>
              <w:left w:val="single" w:sz="4" w:space="0" w:color="auto"/>
              <w:bottom w:val="nil"/>
              <w:right w:val="nil"/>
            </w:tcBorders>
            <w:shd w:val="clear" w:color="auto" w:fill="auto"/>
            <w:noWrap/>
            <w:vAlign w:val="bottom"/>
            <w:hideMark/>
          </w:tcPr>
          <w:p w14:paraId="3F4AC000" w14:textId="77777777" w:rsidR="00C66BC7" w:rsidRPr="007D47D4" w:rsidRDefault="00C66BC7" w:rsidP="002C7140">
            <w:pPr>
              <w:jc w:val="center"/>
              <w:rPr>
                <w:b/>
              </w:rPr>
            </w:pPr>
            <w:r w:rsidRPr="007D47D4">
              <w:rPr>
                <w:b/>
              </w:rPr>
              <w:t>23.32%</w:t>
            </w:r>
          </w:p>
        </w:tc>
        <w:tc>
          <w:tcPr>
            <w:tcW w:w="960" w:type="dxa"/>
            <w:gridSpan w:val="2"/>
            <w:tcBorders>
              <w:top w:val="nil"/>
              <w:left w:val="nil"/>
              <w:bottom w:val="nil"/>
              <w:right w:val="nil"/>
            </w:tcBorders>
            <w:shd w:val="clear" w:color="auto" w:fill="auto"/>
            <w:noWrap/>
            <w:vAlign w:val="bottom"/>
            <w:hideMark/>
          </w:tcPr>
          <w:p w14:paraId="31B49C50" w14:textId="77777777" w:rsidR="00C66BC7" w:rsidRPr="007D47D4" w:rsidRDefault="00C66BC7" w:rsidP="002C7140">
            <w:pPr>
              <w:jc w:val="center"/>
            </w:pPr>
            <w:r w:rsidRPr="007D47D4">
              <w:t>11.68%</w:t>
            </w:r>
          </w:p>
        </w:tc>
        <w:tc>
          <w:tcPr>
            <w:tcW w:w="1047" w:type="dxa"/>
            <w:gridSpan w:val="2"/>
            <w:tcBorders>
              <w:top w:val="nil"/>
              <w:left w:val="nil"/>
              <w:bottom w:val="nil"/>
              <w:right w:val="nil"/>
            </w:tcBorders>
            <w:shd w:val="clear" w:color="auto" w:fill="auto"/>
            <w:noWrap/>
            <w:vAlign w:val="bottom"/>
            <w:hideMark/>
          </w:tcPr>
          <w:p w14:paraId="78DD7A82" w14:textId="77777777" w:rsidR="00C66BC7" w:rsidRPr="007D47D4" w:rsidRDefault="00C66BC7" w:rsidP="002C7140">
            <w:pPr>
              <w:jc w:val="center"/>
            </w:pPr>
            <w:r w:rsidRPr="007D47D4">
              <w:t>0.70</w:t>
            </w:r>
          </w:p>
        </w:tc>
        <w:tc>
          <w:tcPr>
            <w:tcW w:w="810" w:type="dxa"/>
            <w:gridSpan w:val="2"/>
            <w:tcBorders>
              <w:top w:val="nil"/>
              <w:left w:val="nil"/>
              <w:bottom w:val="nil"/>
              <w:right w:val="single" w:sz="4" w:space="0" w:color="auto"/>
            </w:tcBorders>
            <w:shd w:val="clear" w:color="auto" w:fill="auto"/>
            <w:noWrap/>
            <w:vAlign w:val="bottom"/>
            <w:hideMark/>
          </w:tcPr>
          <w:p w14:paraId="63B1B813" w14:textId="77777777" w:rsidR="00C66BC7" w:rsidRPr="007D47D4" w:rsidRDefault="00C66BC7" w:rsidP="002C7140">
            <w:pPr>
              <w:jc w:val="center"/>
            </w:pPr>
            <w:r w:rsidRPr="007D47D4">
              <w:t>2.862</w:t>
            </w:r>
          </w:p>
        </w:tc>
      </w:tr>
      <w:tr w:rsidR="00C66BC7" w:rsidRPr="007D47D4" w14:paraId="4403F239"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07C72B68" w14:textId="77777777" w:rsidR="00C66BC7" w:rsidRPr="007D47D4" w:rsidRDefault="00C66BC7" w:rsidP="002C7140">
            <w:r w:rsidRPr="007D47D4">
              <w:t>Electronic Technology</w:t>
            </w:r>
          </w:p>
        </w:tc>
        <w:tc>
          <w:tcPr>
            <w:tcW w:w="723" w:type="dxa"/>
            <w:gridSpan w:val="2"/>
            <w:tcBorders>
              <w:top w:val="nil"/>
              <w:left w:val="nil"/>
              <w:bottom w:val="nil"/>
              <w:right w:val="nil"/>
            </w:tcBorders>
            <w:shd w:val="clear" w:color="auto" w:fill="auto"/>
            <w:noWrap/>
            <w:vAlign w:val="bottom"/>
            <w:hideMark/>
          </w:tcPr>
          <w:p w14:paraId="7ED8E4F5" w14:textId="77777777" w:rsidR="00C66BC7" w:rsidRPr="007D47D4" w:rsidRDefault="00C66BC7" w:rsidP="002C7140">
            <w:pPr>
              <w:jc w:val="center"/>
            </w:pPr>
            <w:r w:rsidRPr="007D47D4">
              <w:t>3</w:t>
            </w:r>
          </w:p>
        </w:tc>
        <w:tc>
          <w:tcPr>
            <w:tcW w:w="996" w:type="dxa"/>
            <w:gridSpan w:val="2"/>
            <w:tcBorders>
              <w:top w:val="nil"/>
              <w:left w:val="single" w:sz="4" w:space="0" w:color="auto"/>
              <w:bottom w:val="nil"/>
              <w:right w:val="nil"/>
            </w:tcBorders>
            <w:shd w:val="clear" w:color="auto" w:fill="auto"/>
            <w:noWrap/>
            <w:vAlign w:val="bottom"/>
            <w:hideMark/>
          </w:tcPr>
          <w:p w14:paraId="61D48356" w14:textId="77777777" w:rsidR="00C66BC7" w:rsidRPr="007D47D4" w:rsidRDefault="00C66BC7" w:rsidP="002C7140">
            <w:pPr>
              <w:jc w:val="center"/>
              <w:rPr>
                <w:b/>
              </w:rPr>
            </w:pPr>
            <w:r w:rsidRPr="007D47D4">
              <w:rPr>
                <w:b/>
              </w:rPr>
              <w:t>20.96%</w:t>
            </w:r>
          </w:p>
        </w:tc>
        <w:tc>
          <w:tcPr>
            <w:tcW w:w="960" w:type="dxa"/>
            <w:gridSpan w:val="2"/>
            <w:tcBorders>
              <w:top w:val="nil"/>
              <w:left w:val="nil"/>
              <w:bottom w:val="nil"/>
              <w:right w:val="nil"/>
            </w:tcBorders>
            <w:shd w:val="clear" w:color="auto" w:fill="auto"/>
            <w:noWrap/>
            <w:vAlign w:val="bottom"/>
            <w:hideMark/>
          </w:tcPr>
          <w:p w14:paraId="30BF6F82" w14:textId="77777777" w:rsidR="00C66BC7" w:rsidRPr="007D47D4" w:rsidRDefault="00C66BC7" w:rsidP="002C7140">
            <w:pPr>
              <w:jc w:val="center"/>
            </w:pPr>
            <w:r w:rsidRPr="007D47D4">
              <w:t>11.77%</w:t>
            </w:r>
          </w:p>
        </w:tc>
        <w:tc>
          <w:tcPr>
            <w:tcW w:w="1047" w:type="dxa"/>
            <w:gridSpan w:val="2"/>
            <w:tcBorders>
              <w:top w:val="nil"/>
              <w:left w:val="nil"/>
              <w:bottom w:val="nil"/>
              <w:right w:val="nil"/>
            </w:tcBorders>
            <w:shd w:val="clear" w:color="auto" w:fill="auto"/>
            <w:noWrap/>
            <w:vAlign w:val="bottom"/>
            <w:hideMark/>
          </w:tcPr>
          <w:p w14:paraId="3B258BF8" w14:textId="77777777" w:rsidR="00C66BC7" w:rsidRPr="007D47D4" w:rsidRDefault="00C66BC7" w:rsidP="002C7140">
            <w:pPr>
              <w:jc w:val="center"/>
            </w:pPr>
            <w:r w:rsidRPr="007D47D4">
              <w:t>0.73</w:t>
            </w:r>
          </w:p>
        </w:tc>
        <w:tc>
          <w:tcPr>
            <w:tcW w:w="810" w:type="dxa"/>
            <w:gridSpan w:val="2"/>
            <w:tcBorders>
              <w:top w:val="nil"/>
              <w:left w:val="nil"/>
              <w:bottom w:val="nil"/>
              <w:right w:val="single" w:sz="4" w:space="0" w:color="auto"/>
            </w:tcBorders>
            <w:shd w:val="clear" w:color="auto" w:fill="auto"/>
            <w:noWrap/>
            <w:vAlign w:val="bottom"/>
            <w:hideMark/>
          </w:tcPr>
          <w:p w14:paraId="2A777659" w14:textId="77777777" w:rsidR="00C66BC7" w:rsidRPr="007D47D4" w:rsidRDefault="00C66BC7" w:rsidP="002C7140">
            <w:pPr>
              <w:jc w:val="center"/>
            </w:pPr>
            <w:r w:rsidRPr="007D47D4">
              <w:t>2.434</w:t>
            </w:r>
          </w:p>
        </w:tc>
      </w:tr>
      <w:tr w:rsidR="00C66BC7" w:rsidRPr="007D47D4" w14:paraId="761A46E6"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66704FE5" w14:textId="77777777" w:rsidR="00C66BC7" w:rsidRPr="007D47D4" w:rsidRDefault="00C66BC7" w:rsidP="002C7140">
            <w:r w:rsidRPr="007D47D4">
              <w:t>Retail Trade</w:t>
            </w:r>
          </w:p>
        </w:tc>
        <w:tc>
          <w:tcPr>
            <w:tcW w:w="723" w:type="dxa"/>
            <w:gridSpan w:val="2"/>
            <w:tcBorders>
              <w:top w:val="nil"/>
              <w:left w:val="nil"/>
              <w:bottom w:val="nil"/>
              <w:right w:val="nil"/>
            </w:tcBorders>
            <w:shd w:val="clear" w:color="auto" w:fill="auto"/>
            <w:noWrap/>
            <w:vAlign w:val="bottom"/>
            <w:hideMark/>
          </w:tcPr>
          <w:p w14:paraId="7DB5E033" w14:textId="77777777" w:rsidR="00C66BC7" w:rsidRPr="007D47D4" w:rsidRDefault="00C66BC7" w:rsidP="002C7140">
            <w:pPr>
              <w:jc w:val="center"/>
            </w:pPr>
            <w:r w:rsidRPr="007D47D4">
              <w:t>4</w:t>
            </w:r>
          </w:p>
        </w:tc>
        <w:tc>
          <w:tcPr>
            <w:tcW w:w="996" w:type="dxa"/>
            <w:gridSpan w:val="2"/>
            <w:tcBorders>
              <w:top w:val="nil"/>
              <w:left w:val="single" w:sz="4" w:space="0" w:color="auto"/>
              <w:bottom w:val="nil"/>
              <w:right w:val="nil"/>
            </w:tcBorders>
            <w:shd w:val="clear" w:color="auto" w:fill="auto"/>
            <w:noWrap/>
            <w:vAlign w:val="bottom"/>
            <w:hideMark/>
          </w:tcPr>
          <w:p w14:paraId="456706D4" w14:textId="77777777" w:rsidR="00C66BC7" w:rsidRPr="007D47D4" w:rsidRDefault="00C66BC7" w:rsidP="002C7140">
            <w:pPr>
              <w:jc w:val="center"/>
              <w:rPr>
                <w:b/>
              </w:rPr>
            </w:pPr>
            <w:r w:rsidRPr="007D47D4">
              <w:rPr>
                <w:b/>
              </w:rPr>
              <w:t>20.10%</w:t>
            </w:r>
          </w:p>
        </w:tc>
        <w:tc>
          <w:tcPr>
            <w:tcW w:w="960" w:type="dxa"/>
            <w:gridSpan w:val="2"/>
            <w:tcBorders>
              <w:top w:val="nil"/>
              <w:left w:val="nil"/>
              <w:bottom w:val="nil"/>
              <w:right w:val="nil"/>
            </w:tcBorders>
            <w:shd w:val="clear" w:color="auto" w:fill="auto"/>
            <w:noWrap/>
            <w:vAlign w:val="bottom"/>
            <w:hideMark/>
          </w:tcPr>
          <w:p w14:paraId="1C7DC810" w14:textId="77777777" w:rsidR="00C66BC7" w:rsidRPr="007D47D4" w:rsidRDefault="00C66BC7" w:rsidP="002C7140">
            <w:pPr>
              <w:jc w:val="center"/>
            </w:pPr>
            <w:r w:rsidRPr="007D47D4">
              <w:t>3.49%</w:t>
            </w:r>
          </w:p>
        </w:tc>
        <w:tc>
          <w:tcPr>
            <w:tcW w:w="1047" w:type="dxa"/>
            <w:gridSpan w:val="2"/>
            <w:tcBorders>
              <w:top w:val="nil"/>
              <w:left w:val="nil"/>
              <w:bottom w:val="nil"/>
              <w:right w:val="nil"/>
            </w:tcBorders>
            <w:shd w:val="clear" w:color="auto" w:fill="auto"/>
            <w:noWrap/>
            <w:vAlign w:val="bottom"/>
            <w:hideMark/>
          </w:tcPr>
          <w:p w14:paraId="2070C782" w14:textId="77777777" w:rsidR="00C66BC7" w:rsidRPr="007D47D4" w:rsidRDefault="00C66BC7" w:rsidP="002C7140">
            <w:pPr>
              <w:jc w:val="center"/>
            </w:pPr>
            <w:r w:rsidRPr="007D47D4">
              <w:t>1.89</w:t>
            </w:r>
          </w:p>
        </w:tc>
        <w:tc>
          <w:tcPr>
            <w:tcW w:w="810" w:type="dxa"/>
            <w:gridSpan w:val="2"/>
            <w:tcBorders>
              <w:top w:val="nil"/>
              <w:left w:val="nil"/>
              <w:bottom w:val="nil"/>
              <w:right w:val="single" w:sz="4" w:space="0" w:color="auto"/>
            </w:tcBorders>
            <w:shd w:val="clear" w:color="auto" w:fill="auto"/>
            <w:noWrap/>
            <w:vAlign w:val="bottom"/>
            <w:hideMark/>
          </w:tcPr>
          <w:p w14:paraId="21A29AD3" w14:textId="77777777" w:rsidR="00C66BC7" w:rsidRPr="007D47D4" w:rsidRDefault="00C66BC7" w:rsidP="002C7140">
            <w:pPr>
              <w:jc w:val="center"/>
            </w:pPr>
            <w:r w:rsidRPr="007D47D4">
              <w:t>3.055</w:t>
            </w:r>
          </w:p>
        </w:tc>
      </w:tr>
      <w:tr w:rsidR="00C66BC7" w:rsidRPr="007D47D4" w14:paraId="2048342D"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691ED2DF" w14:textId="77777777" w:rsidR="00C66BC7" w:rsidRPr="007D47D4" w:rsidRDefault="00C66BC7" w:rsidP="002C7140">
            <w:r w:rsidRPr="007D47D4">
              <w:t>Process Industries</w:t>
            </w:r>
          </w:p>
        </w:tc>
        <w:tc>
          <w:tcPr>
            <w:tcW w:w="723" w:type="dxa"/>
            <w:gridSpan w:val="2"/>
            <w:tcBorders>
              <w:top w:val="nil"/>
              <w:left w:val="nil"/>
              <w:bottom w:val="nil"/>
              <w:right w:val="nil"/>
            </w:tcBorders>
            <w:shd w:val="clear" w:color="auto" w:fill="auto"/>
            <w:noWrap/>
            <w:vAlign w:val="bottom"/>
            <w:hideMark/>
          </w:tcPr>
          <w:p w14:paraId="5E8CB5D0" w14:textId="77777777" w:rsidR="00C66BC7" w:rsidRPr="007D47D4" w:rsidRDefault="00C66BC7" w:rsidP="002C7140">
            <w:pPr>
              <w:jc w:val="center"/>
            </w:pPr>
            <w:r w:rsidRPr="007D47D4">
              <w:t>5</w:t>
            </w:r>
          </w:p>
        </w:tc>
        <w:tc>
          <w:tcPr>
            <w:tcW w:w="996" w:type="dxa"/>
            <w:gridSpan w:val="2"/>
            <w:tcBorders>
              <w:top w:val="nil"/>
              <w:left w:val="single" w:sz="4" w:space="0" w:color="auto"/>
              <w:bottom w:val="nil"/>
              <w:right w:val="nil"/>
            </w:tcBorders>
            <w:shd w:val="clear" w:color="auto" w:fill="auto"/>
            <w:noWrap/>
            <w:vAlign w:val="bottom"/>
            <w:hideMark/>
          </w:tcPr>
          <w:p w14:paraId="5727CF9E" w14:textId="77777777" w:rsidR="00C66BC7" w:rsidRPr="007D47D4" w:rsidRDefault="00C66BC7" w:rsidP="002C7140">
            <w:pPr>
              <w:jc w:val="center"/>
              <w:rPr>
                <w:b/>
              </w:rPr>
            </w:pPr>
            <w:r w:rsidRPr="007D47D4">
              <w:rPr>
                <w:b/>
              </w:rPr>
              <w:t>18.99%</w:t>
            </w:r>
          </w:p>
        </w:tc>
        <w:tc>
          <w:tcPr>
            <w:tcW w:w="960" w:type="dxa"/>
            <w:gridSpan w:val="2"/>
            <w:tcBorders>
              <w:top w:val="nil"/>
              <w:left w:val="nil"/>
              <w:bottom w:val="nil"/>
              <w:right w:val="nil"/>
            </w:tcBorders>
            <w:shd w:val="clear" w:color="auto" w:fill="auto"/>
            <w:noWrap/>
            <w:vAlign w:val="bottom"/>
            <w:hideMark/>
          </w:tcPr>
          <w:p w14:paraId="2D54BF2F" w14:textId="77777777" w:rsidR="00C66BC7" w:rsidRPr="007D47D4" w:rsidRDefault="00C66BC7" w:rsidP="002C7140">
            <w:pPr>
              <w:jc w:val="center"/>
            </w:pPr>
            <w:r w:rsidRPr="007D47D4">
              <w:t>6.91%</w:t>
            </w:r>
          </w:p>
        </w:tc>
        <w:tc>
          <w:tcPr>
            <w:tcW w:w="1047" w:type="dxa"/>
            <w:gridSpan w:val="2"/>
            <w:tcBorders>
              <w:top w:val="nil"/>
              <w:left w:val="nil"/>
              <w:bottom w:val="nil"/>
              <w:right w:val="nil"/>
            </w:tcBorders>
            <w:shd w:val="clear" w:color="auto" w:fill="auto"/>
            <w:noWrap/>
            <w:vAlign w:val="bottom"/>
            <w:hideMark/>
          </w:tcPr>
          <w:p w14:paraId="27373F4C" w14:textId="77777777" w:rsidR="00C66BC7" w:rsidRPr="007D47D4" w:rsidRDefault="00C66BC7" w:rsidP="002C7140">
            <w:pPr>
              <w:jc w:val="center"/>
            </w:pPr>
            <w:r w:rsidRPr="007D47D4">
              <w:t>0.89</w:t>
            </w:r>
          </w:p>
        </w:tc>
        <w:tc>
          <w:tcPr>
            <w:tcW w:w="810" w:type="dxa"/>
            <w:gridSpan w:val="2"/>
            <w:tcBorders>
              <w:top w:val="nil"/>
              <w:left w:val="nil"/>
              <w:bottom w:val="nil"/>
              <w:right w:val="single" w:sz="4" w:space="0" w:color="auto"/>
            </w:tcBorders>
            <w:shd w:val="clear" w:color="auto" w:fill="auto"/>
            <w:noWrap/>
            <w:vAlign w:val="bottom"/>
            <w:hideMark/>
          </w:tcPr>
          <w:p w14:paraId="0D841C8E" w14:textId="77777777" w:rsidR="00C66BC7" w:rsidRPr="007D47D4" w:rsidRDefault="00C66BC7" w:rsidP="002C7140">
            <w:pPr>
              <w:jc w:val="center"/>
            </w:pPr>
            <w:r w:rsidRPr="007D47D4">
              <w:t>3.082</w:t>
            </w:r>
          </w:p>
        </w:tc>
      </w:tr>
      <w:tr w:rsidR="00C66BC7" w:rsidRPr="007D47D4" w14:paraId="2BA36722"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0D066BDB" w14:textId="77777777" w:rsidR="00C66BC7" w:rsidRPr="007D47D4" w:rsidRDefault="00C66BC7" w:rsidP="002C7140">
            <w:r w:rsidRPr="007D47D4">
              <w:t>Consumer Services</w:t>
            </w:r>
          </w:p>
        </w:tc>
        <w:tc>
          <w:tcPr>
            <w:tcW w:w="723" w:type="dxa"/>
            <w:gridSpan w:val="2"/>
            <w:tcBorders>
              <w:top w:val="nil"/>
              <w:left w:val="nil"/>
              <w:bottom w:val="nil"/>
              <w:right w:val="nil"/>
            </w:tcBorders>
            <w:shd w:val="clear" w:color="auto" w:fill="auto"/>
            <w:noWrap/>
            <w:vAlign w:val="bottom"/>
            <w:hideMark/>
          </w:tcPr>
          <w:p w14:paraId="4A646B4D" w14:textId="77777777" w:rsidR="00C66BC7" w:rsidRPr="007D47D4" w:rsidRDefault="00C66BC7" w:rsidP="002C7140">
            <w:pPr>
              <w:jc w:val="center"/>
            </w:pPr>
            <w:r w:rsidRPr="007D47D4">
              <w:t>6</w:t>
            </w:r>
          </w:p>
        </w:tc>
        <w:tc>
          <w:tcPr>
            <w:tcW w:w="996" w:type="dxa"/>
            <w:gridSpan w:val="2"/>
            <w:tcBorders>
              <w:top w:val="nil"/>
              <w:left w:val="single" w:sz="4" w:space="0" w:color="auto"/>
              <w:bottom w:val="nil"/>
              <w:right w:val="nil"/>
            </w:tcBorders>
            <w:shd w:val="clear" w:color="auto" w:fill="auto"/>
            <w:noWrap/>
            <w:vAlign w:val="bottom"/>
            <w:hideMark/>
          </w:tcPr>
          <w:p w14:paraId="09755267" w14:textId="77777777" w:rsidR="00C66BC7" w:rsidRPr="007D47D4" w:rsidRDefault="00C66BC7" w:rsidP="002C7140">
            <w:pPr>
              <w:jc w:val="center"/>
              <w:rPr>
                <w:b/>
              </w:rPr>
            </w:pPr>
            <w:r w:rsidRPr="007D47D4">
              <w:rPr>
                <w:b/>
              </w:rPr>
              <w:t>18.98%</w:t>
            </w:r>
          </w:p>
        </w:tc>
        <w:tc>
          <w:tcPr>
            <w:tcW w:w="960" w:type="dxa"/>
            <w:gridSpan w:val="2"/>
            <w:tcBorders>
              <w:top w:val="nil"/>
              <w:left w:val="nil"/>
              <w:bottom w:val="nil"/>
              <w:right w:val="nil"/>
            </w:tcBorders>
            <w:shd w:val="clear" w:color="auto" w:fill="auto"/>
            <w:noWrap/>
            <w:vAlign w:val="bottom"/>
            <w:hideMark/>
          </w:tcPr>
          <w:p w14:paraId="74E6DC55" w14:textId="77777777" w:rsidR="00C66BC7" w:rsidRPr="007D47D4" w:rsidRDefault="00C66BC7" w:rsidP="002C7140">
            <w:pPr>
              <w:jc w:val="center"/>
            </w:pPr>
            <w:r w:rsidRPr="007D47D4">
              <w:t>10.23%</w:t>
            </w:r>
          </w:p>
        </w:tc>
        <w:tc>
          <w:tcPr>
            <w:tcW w:w="1047" w:type="dxa"/>
            <w:gridSpan w:val="2"/>
            <w:tcBorders>
              <w:top w:val="nil"/>
              <w:left w:val="nil"/>
              <w:bottom w:val="nil"/>
              <w:right w:val="nil"/>
            </w:tcBorders>
            <w:shd w:val="clear" w:color="auto" w:fill="auto"/>
            <w:noWrap/>
            <w:vAlign w:val="bottom"/>
            <w:hideMark/>
          </w:tcPr>
          <w:p w14:paraId="579F9B71" w14:textId="77777777" w:rsidR="00C66BC7" w:rsidRPr="007D47D4" w:rsidRDefault="00C66BC7" w:rsidP="002C7140">
            <w:pPr>
              <w:jc w:val="center"/>
            </w:pPr>
            <w:r w:rsidRPr="007D47D4">
              <w:t>0.55</w:t>
            </w:r>
          </w:p>
        </w:tc>
        <w:tc>
          <w:tcPr>
            <w:tcW w:w="810" w:type="dxa"/>
            <w:gridSpan w:val="2"/>
            <w:tcBorders>
              <w:top w:val="nil"/>
              <w:left w:val="nil"/>
              <w:bottom w:val="nil"/>
              <w:right w:val="single" w:sz="4" w:space="0" w:color="auto"/>
            </w:tcBorders>
            <w:shd w:val="clear" w:color="auto" w:fill="auto"/>
            <w:noWrap/>
            <w:vAlign w:val="bottom"/>
            <w:hideMark/>
          </w:tcPr>
          <w:p w14:paraId="211B33EA" w14:textId="77777777" w:rsidR="00C66BC7" w:rsidRPr="007D47D4" w:rsidRDefault="00C66BC7" w:rsidP="002C7140">
            <w:pPr>
              <w:jc w:val="center"/>
            </w:pPr>
            <w:r w:rsidRPr="007D47D4">
              <w:t>3.377</w:t>
            </w:r>
          </w:p>
        </w:tc>
      </w:tr>
      <w:tr w:rsidR="00C66BC7" w:rsidRPr="007D47D4" w14:paraId="1E38E335"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36B85600" w14:textId="77777777" w:rsidR="00C66BC7" w:rsidRPr="007D47D4" w:rsidRDefault="00C66BC7" w:rsidP="002C7140">
            <w:r w:rsidRPr="007D47D4">
              <w:t>Consumer Durables</w:t>
            </w:r>
          </w:p>
        </w:tc>
        <w:tc>
          <w:tcPr>
            <w:tcW w:w="723" w:type="dxa"/>
            <w:gridSpan w:val="2"/>
            <w:tcBorders>
              <w:top w:val="nil"/>
              <w:left w:val="nil"/>
              <w:bottom w:val="nil"/>
              <w:right w:val="nil"/>
            </w:tcBorders>
            <w:shd w:val="clear" w:color="auto" w:fill="auto"/>
            <w:noWrap/>
            <w:vAlign w:val="bottom"/>
            <w:hideMark/>
          </w:tcPr>
          <w:p w14:paraId="58C7FEE3" w14:textId="77777777" w:rsidR="00C66BC7" w:rsidRPr="007D47D4" w:rsidRDefault="00C66BC7" w:rsidP="002C7140">
            <w:pPr>
              <w:jc w:val="center"/>
            </w:pPr>
            <w:r w:rsidRPr="007D47D4">
              <w:t>7</w:t>
            </w:r>
          </w:p>
        </w:tc>
        <w:tc>
          <w:tcPr>
            <w:tcW w:w="996" w:type="dxa"/>
            <w:gridSpan w:val="2"/>
            <w:tcBorders>
              <w:top w:val="nil"/>
              <w:left w:val="single" w:sz="4" w:space="0" w:color="auto"/>
              <w:bottom w:val="nil"/>
              <w:right w:val="nil"/>
            </w:tcBorders>
            <w:shd w:val="clear" w:color="auto" w:fill="auto"/>
            <w:noWrap/>
            <w:vAlign w:val="bottom"/>
            <w:hideMark/>
          </w:tcPr>
          <w:p w14:paraId="0B8A2FD9" w14:textId="77777777" w:rsidR="00C66BC7" w:rsidRPr="007D47D4" w:rsidRDefault="00C66BC7" w:rsidP="002C7140">
            <w:pPr>
              <w:jc w:val="center"/>
              <w:rPr>
                <w:b/>
              </w:rPr>
            </w:pPr>
            <w:r w:rsidRPr="007D47D4">
              <w:rPr>
                <w:b/>
              </w:rPr>
              <w:t>17.81%</w:t>
            </w:r>
          </w:p>
        </w:tc>
        <w:tc>
          <w:tcPr>
            <w:tcW w:w="960" w:type="dxa"/>
            <w:gridSpan w:val="2"/>
            <w:tcBorders>
              <w:top w:val="nil"/>
              <w:left w:val="nil"/>
              <w:bottom w:val="nil"/>
              <w:right w:val="nil"/>
            </w:tcBorders>
            <w:shd w:val="clear" w:color="auto" w:fill="auto"/>
            <w:noWrap/>
            <w:vAlign w:val="bottom"/>
            <w:hideMark/>
          </w:tcPr>
          <w:p w14:paraId="4F5A4217" w14:textId="77777777" w:rsidR="00C66BC7" w:rsidRPr="007D47D4" w:rsidRDefault="00C66BC7" w:rsidP="002C7140">
            <w:pPr>
              <w:jc w:val="center"/>
            </w:pPr>
            <w:r w:rsidRPr="007D47D4">
              <w:t>5.58%</w:t>
            </w:r>
          </w:p>
        </w:tc>
        <w:tc>
          <w:tcPr>
            <w:tcW w:w="1047" w:type="dxa"/>
            <w:gridSpan w:val="2"/>
            <w:tcBorders>
              <w:top w:val="nil"/>
              <w:left w:val="nil"/>
              <w:bottom w:val="nil"/>
              <w:right w:val="nil"/>
            </w:tcBorders>
            <w:shd w:val="clear" w:color="auto" w:fill="auto"/>
            <w:noWrap/>
            <w:vAlign w:val="bottom"/>
            <w:hideMark/>
          </w:tcPr>
          <w:p w14:paraId="54A65747" w14:textId="77777777" w:rsidR="00C66BC7" w:rsidRPr="007D47D4" w:rsidRDefault="00C66BC7" w:rsidP="002C7140">
            <w:pPr>
              <w:jc w:val="center"/>
            </w:pPr>
            <w:r w:rsidRPr="007D47D4">
              <w:t>0.75</w:t>
            </w:r>
          </w:p>
        </w:tc>
        <w:tc>
          <w:tcPr>
            <w:tcW w:w="810" w:type="dxa"/>
            <w:gridSpan w:val="2"/>
            <w:tcBorders>
              <w:top w:val="nil"/>
              <w:left w:val="nil"/>
              <w:bottom w:val="nil"/>
              <w:right w:val="single" w:sz="4" w:space="0" w:color="auto"/>
            </w:tcBorders>
            <w:shd w:val="clear" w:color="auto" w:fill="auto"/>
            <w:noWrap/>
            <w:vAlign w:val="bottom"/>
            <w:hideMark/>
          </w:tcPr>
          <w:p w14:paraId="0C6F205A" w14:textId="77777777" w:rsidR="00C66BC7" w:rsidRPr="007D47D4" w:rsidRDefault="00C66BC7" w:rsidP="002C7140">
            <w:pPr>
              <w:jc w:val="center"/>
            </w:pPr>
            <w:r w:rsidRPr="007D47D4">
              <w:t>4.271</w:t>
            </w:r>
          </w:p>
        </w:tc>
      </w:tr>
      <w:tr w:rsidR="00C66BC7" w:rsidRPr="007D47D4" w14:paraId="7864677B"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077118D0" w14:textId="77777777" w:rsidR="00C66BC7" w:rsidRPr="007D47D4" w:rsidRDefault="00C66BC7" w:rsidP="002C7140">
            <w:r w:rsidRPr="007D47D4">
              <w:t>Technology &amp; Health Services</w:t>
            </w:r>
          </w:p>
        </w:tc>
        <w:tc>
          <w:tcPr>
            <w:tcW w:w="723" w:type="dxa"/>
            <w:gridSpan w:val="2"/>
            <w:tcBorders>
              <w:top w:val="nil"/>
              <w:left w:val="nil"/>
              <w:bottom w:val="nil"/>
              <w:right w:val="nil"/>
            </w:tcBorders>
            <w:shd w:val="clear" w:color="auto" w:fill="auto"/>
            <w:noWrap/>
            <w:vAlign w:val="bottom"/>
            <w:hideMark/>
          </w:tcPr>
          <w:p w14:paraId="18D18BA7" w14:textId="77777777" w:rsidR="00C66BC7" w:rsidRPr="007D47D4" w:rsidRDefault="00C66BC7" w:rsidP="002C7140">
            <w:pPr>
              <w:jc w:val="center"/>
            </w:pPr>
            <w:r w:rsidRPr="007D47D4">
              <w:t>8</w:t>
            </w:r>
          </w:p>
        </w:tc>
        <w:tc>
          <w:tcPr>
            <w:tcW w:w="996" w:type="dxa"/>
            <w:gridSpan w:val="2"/>
            <w:tcBorders>
              <w:top w:val="nil"/>
              <w:left w:val="single" w:sz="4" w:space="0" w:color="auto"/>
              <w:bottom w:val="nil"/>
              <w:right w:val="nil"/>
            </w:tcBorders>
            <w:shd w:val="clear" w:color="auto" w:fill="auto"/>
            <w:noWrap/>
            <w:vAlign w:val="bottom"/>
            <w:hideMark/>
          </w:tcPr>
          <w:p w14:paraId="39E73FF6" w14:textId="77777777" w:rsidR="00C66BC7" w:rsidRPr="007D47D4" w:rsidRDefault="00C66BC7" w:rsidP="002C7140">
            <w:pPr>
              <w:jc w:val="center"/>
              <w:rPr>
                <w:b/>
              </w:rPr>
            </w:pPr>
            <w:r w:rsidRPr="007D47D4">
              <w:rPr>
                <w:b/>
              </w:rPr>
              <w:t>16.66%</w:t>
            </w:r>
          </w:p>
        </w:tc>
        <w:tc>
          <w:tcPr>
            <w:tcW w:w="960" w:type="dxa"/>
            <w:gridSpan w:val="2"/>
            <w:tcBorders>
              <w:top w:val="nil"/>
              <w:left w:val="nil"/>
              <w:bottom w:val="nil"/>
              <w:right w:val="nil"/>
            </w:tcBorders>
            <w:shd w:val="clear" w:color="auto" w:fill="auto"/>
            <w:noWrap/>
            <w:vAlign w:val="bottom"/>
            <w:hideMark/>
          </w:tcPr>
          <w:p w14:paraId="778DA657" w14:textId="77777777" w:rsidR="00C66BC7" w:rsidRPr="007D47D4" w:rsidRDefault="00C66BC7" w:rsidP="002C7140">
            <w:pPr>
              <w:jc w:val="center"/>
            </w:pPr>
            <w:r w:rsidRPr="007D47D4">
              <w:t>13.25%</w:t>
            </w:r>
          </w:p>
        </w:tc>
        <w:tc>
          <w:tcPr>
            <w:tcW w:w="1047" w:type="dxa"/>
            <w:gridSpan w:val="2"/>
            <w:tcBorders>
              <w:top w:val="nil"/>
              <w:left w:val="nil"/>
              <w:bottom w:val="nil"/>
              <w:right w:val="nil"/>
            </w:tcBorders>
            <w:shd w:val="clear" w:color="auto" w:fill="auto"/>
            <w:noWrap/>
            <w:vAlign w:val="bottom"/>
            <w:hideMark/>
          </w:tcPr>
          <w:p w14:paraId="10335FFA" w14:textId="77777777" w:rsidR="00C66BC7" w:rsidRPr="007D47D4" w:rsidRDefault="00C66BC7" w:rsidP="002C7140">
            <w:pPr>
              <w:jc w:val="center"/>
            </w:pPr>
            <w:r w:rsidRPr="007D47D4">
              <w:t>0.56</w:t>
            </w:r>
          </w:p>
        </w:tc>
        <w:tc>
          <w:tcPr>
            <w:tcW w:w="810" w:type="dxa"/>
            <w:gridSpan w:val="2"/>
            <w:tcBorders>
              <w:top w:val="nil"/>
              <w:left w:val="nil"/>
              <w:bottom w:val="nil"/>
              <w:right w:val="single" w:sz="4" w:space="0" w:color="auto"/>
            </w:tcBorders>
            <w:shd w:val="clear" w:color="auto" w:fill="auto"/>
            <w:noWrap/>
            <w:vAlign w:val="bottom"/>
            <w:hideMark/>
          </w:tcPr>
          <w:p w14:paraId="1DF5C3C7" w14:textId="77777777" w:rsidR="00C66BC7" w:rsidRPr="007D47D4" w:rsidRDefault="00C66BC7" w:rsidP="002C7140">
            <w:pPr>
              <w:jc w:val="center"/>
            </w:pPr>
            <w:r w:rsidRPr="007D47D4">
              <w:t>2.242</w:t>
            </w:r>
          </w:p>
        </w:tc>
      </w:tr>
      <w:tr w:rsidR="00C66BC7" w:rsidRPr="007D47D4" w14:paraId="58746F7A"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3EE2D0BF" w14:textId="77777777" w:rsidR="00C66BC7" w:rsidRPr="007D47D4" w:rsidRDefault="00C66BC7" w:rsidP="002C7140">
            <w:r w:rsidRPr="007D47D4">
              <w:t>Commercial &amp; Distribution Services</w:t>
            </w:r>
          </w:p>
        </w:tc>
        <w:tc>
          <w:tcPr>
            <w:tcW w:w="723" w:type="dxa"/>
            <w:gridSpan w:val="2"/>
            <w:tcBorders>
              <w:top w:val="nil"/>
              <w:left w:val="nil"/>
              <w:bottom w:val="nil"/>
              <w:right w:val="nil"/>
            </w:tcBorders>
            <w:shd w:val="clear" w:color="auto" w:fill="auto"/>
            <w:noWrap/>
            <w:vAlign w:val="bottom"/>
            <w:hideMark/>
          </w:tcPr>
          <w:p w14:paraId="1E6EFAFE" w14:textId="77777777" w:rsidR="00C66BC7" w:rsidRPr="007D47D4" w:rsidRDefault="00C66BC7" w:rsidP="002C7140">
            <w:pPr>
              <w:jc w:val="center"/>
            </w:pPr>
            <w:r w:rsidRPr="007D47D4">
              <w:t>9</w:t>
            </w:r>
          </w:p>
        </w:tc>
        <w:tc>
          <w:tcPr>
            <w:tcW w:w="996" w:type="dxa"/>
            <w:gridSpan w:val="2"/>
            <w:tcBorders>
              <w:top w:val="nil"/>
              <w:left w:val="single" w:sz="4" w:space="0" w:color="auto"/>
              <w:bottom w:val="nil"/>
              <w:right w:val="nil"/>
            </w:tcBorders>
            <w:shd w:val="clear" w:color="auto" w:fill="auto"/>
            <w:noWrap/>
            <w:vAlign w:val="bottom"/>
            <w:hideMark/>
          </w:tcPr>
          <w:p w14:paraId="229FA051" w14:textId="77777777" w:rsidR="00C66BC7" w:rsidRPr="007D47D4" w:rsidRDefault="00C66BC7" w:rsidP="002C7140">
            <w:pPr>
              <w:jc w:val="center"/>
              <w:rPr>
                <w:b/>
              </w:rPr>
            </w:pPr>
            <w:r w:rsidRPr="007D47D4">
              <w:rPr>
                <w:b/>
              </w:rPr>
              <w:t>14.62%</w:t>
            </w:r>
          </w:p>
        </w:tc>
        <w:tc>
          <w:tcPr>
            <w:tcW w:w="960" w:type="dxa"/>
            <w:gridSpan w:val="2"/>
            <w:tcBorders>
              <w:top w:val="nil"/>
              <w:left w:val="nil"/>
              <w:bottom w:val="nil"/>
              <w:right w:val="nil"/>
            </w:tcBorders>
            <w:shd w:val="clear" w:color="auto" w:fill="auto"/>
            <w:noWrap/>
            <w:vAlign w:val="bottom"/>
            <w:hideMark/>
          </w:tcPr>
          <w:p w14:paraId="60D6062F" w14:textId="77777777" w:rsidR="00C66BC7" w:rsidRPr="007D47D4" w:rsidRDefault="00C66BC7" w:rsidP="002C7140">
            <w:pPr>
              <w:jc w:val="center"/>
            </w:pPr>
            <w:r w:rsidRPr="007D47D4">
              <w:t>5.96%</w:t>
            </w:r>
          </w:p>
        </w:tc>
        <w:tc>
          <w:tcPr>
            <w:tcW w:w="1047" w:type="dxa"/>
            <w:gridSpan w:val="2"/>
            <w:tcBorders>
              <w:top w:val="nil"/>
              <w:left w:val="nil"/>
              <w:bottom w:val="nil"/>
              <w:right w:val="nil"/>
            </w:tcBorders>
            <w:shd w:val="clear" w:color="auto" w:fill="auto"/>
            <w:noWrap/>
            <w:vAlign w:val="bottom"/>
            <w:hideMark/>
          </w:tcPr>
          <w:p w14:paraId="0DB83336" w14:textId="77777777" w:rsidR="00C66BC7" w:rsidRPr="007D47D4" w:rsidRDefault="00C66BC7" w:rsidP="002C7140">
            <w:pPr>
              <w:jc w:val="center"/>
            </w:pPr>
            <w:r w:rsidRPr="007D47D4">
              <w:t>0.79</w:t>
            </w:r>
          </w:p>
        </w:tc>
        <w:tc>
          <w:tcPr>
            <w:tcW w:w="810" w:type="dxa"/>
            <w:gridSpan w:val="2"/>
            <w:tcBorders>
              <w:top w:val="nil"/>
              <w:left w:val="nil"/>
              <w:bottom w:val="nil"/>
              <w:right w:val="single" w:sz="4" w:space="0" w:color="auto"/>
            </w:tcBorders>
            <w:shd w:val="clear" w:color="auto" w:fill="auto"/>
            <w:noWrap/>
            <w:vAlign w:val="bottom"/>
            <w:hideMark/>
          </w:tcPr>
          <w:p w14:paraId="6E9154F0" w14:textId="77777777" w:rsidR="00C66BC7" w:rsidRPr="007D47D4" w:rsidRDefault="00C66BC7" w:rsidP="002C7140">
            <w:pPr>
              <w:jc w:val="center"/>
            </w:pPr>
            <w:r w:rsidRPr="007D47D4">
              <w:t>3.105</w:t>
            </w:r>
          </w:p>
        </w:tc>
      </w:tr>
      <w:tr w:rsidR="00C66BC7" w:rsidRPr="007D47D4" w14:paraId="24D5C1D6"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05E57191" w14:textId="77777777" w:rsidR="00C66BC7" w:rsidRPr="007D47D4" w:rsidRDefault="00C66BC7" w:rsidP="002C7140">
            <w:r w:rsidRPr="007D47D4">
              <w:t>Health Technology</w:t>
            </w:r>
          </w:p>
        </w:tc>
        <w:tc>
          <w:tcPr>
            <w:tcW w:w="723" w:type="dxa"/>
            <w:gridSpan w:val="2"/>
            <w:tcBorders>
              <w:top w:val="nil"/>
              <w:left w:val="nil"/>
              <w:bottom w:val="nil"/>
              <w:right w:val="nil"/>
            </w:tcBorders>
            <w:shd w:val="clear" w:color="auto" w:fill="auto"/>
            <w:noWrap/>
            <w:vAlign w:val="bottom"/>
            <w:hideMark/>
          </w:tcPr>
          <w:p w14:paraId="4E427DC6" w14:textId="77777777" w:rsidR="00C66BC7" w:rsidRPr="007D47D4" w:rsidRDefault="00C66BC7" w:rsidP="002C7140">
            <w:pPr>
              <w:jc w:val="center"/>
            </w:pPr>
            <w:r w:rsidRPr="007D47D4">
              <w:t>10</w:t>
            </w:r>
          </w:p>
        </w:tc>
        <w:tc>
          <w:tcPr>
            <w:tcW w:w="996" w:type="dxa"/>
            <w:gridSpan w:val="2"/>
            <w:tcBorders>
              <w:top w:val="nil"/>
              <w:left w:val="single" w:sz="4" w:space="0" w:color="auto"/>
              <w:bottom w:val="nil"/>
              <w:right w:val="nil"/>
            </w:tcBorders>
            <w:shd w:val="clear" w:color="auto" w:fill="auto"/>
            <w:noWrap/>
            <w:vAlign w:val="bottom"/>
            <w:hideMark/>
          </w:tcPr>
          <w:p w14:paraId="67DFF450" w14:textId="77777777" w:rsidR="00C66BC7" w:rsidRPr="007D47D4" w:rsidRDefault="00C66BC7" w:rsidP="002C7140">
            <w:pPr>
              <w:jc w:val="center"/>
              <w:rPr>
                <w:b/>
              </w:rPr>
            </w:pPr>
            <w:r w:rsidRPr="007D47D4">
              <w:rPr>
                <w:b/>
              </w:rPr>
              <w:t>13.81%</w:t>
            </w:r>
          </w:p>
        </w:tc>
        <w:tc>
          <w:tcPr>
            <w:tcW w:w="960" w:type="dxa"/>
            <w:gridSpan w:val="2"/>
            <w:tcBorders>
              <w:top w:val="nil"/>
              <w:left w:val="nil"/>
              <w:bottom w:val="nil"/>
              <w:right w:val="nil"/>
            </w:tcBorders>
            <w:shd w:val="clear" w:color="auto" w:fill="auto"/>
            <w:noWrap/>
            <w:vAlign w:val="bottom"/>
            <w:hideMark/>
          </w:tcPr>
          <w:p w14:paraId="15AC83AC" w14:textId="77777777" w:rsidR="00C66BC7" w:rsidRPr="007D47D4" w:rsidRDefault="00C66BC7" w:rsidP="002C7140">
            <w:pPr>
              <w:jc w:val="center"/>
            </w:pPr>
            <w:r w:rsidRPr="007D47D4">
              <w:t>16.31%</w:t>
            </w:r>
          </w:p>
        </w:tc>
        <w:tc>
          <w:tcPr>
            <w:tcW w:w="1047" w:type="dxa"/>
            <w:gridSpan w:val="2"/>
            <w:tcBorders>
              <w:top w:val="nil"/>
              <w:left w:val="nil"/>
              <w:bottom w:val="nil"/>
              <w:right w:val="nil"/>
            </w:tcBorders>
            <w:shd w:val="clear" w:color="auto" w:fill="auto"/>
            <w:noWrap/>
            <w:vAlign w:val="bottom"/>
            <w:hideMark/>
          </w:tcPr>
          <w:p w14:paraId="16441276" w14:textId="77777777" w:rsidR="00C66BC7" w:rsidRPr="007D47D4" w:rsidRDefault="00C66BC7" w:rsidP="002C7140">
            <w:pPr>
              <w:jc w:val="center"/>
            </w:pPr>
            <w:r w:rsidRPr="007D47D4">
              <w:t>0.37</w:t>
            </w:r>
          </w:p>
        </w:tc>
        <w:tc>
          <w:tcPr>
            <w:tcW w:w="810" w:type="dxa"/>
            <w:gridSpan w:val="2"/>
            <w:tcBorders>
              <w:top w:val="nil"/>
              <w:left w:val="nil"/>
              <w:bottom w:val="nil"/>
              <w:right w:val="single" w:sz="4" w:space="0" w:color="auto"/>
            </w:tcBorders>
            <w:shd w:val="clear" w:color="auto" w:fill="auto"/>
            <w:noWrap/>
            <w:vAlign w:val="bottom"/>
            <w:hideMark/>
          </w:tcPr>
          <w:p w14:paraId="4C84FC74" w14:textId="77777777" w:rsidR="00C66BC7" w:rsidRPr="007D47D4" w:rsidRDefault="00C66BC7" w:rsidP="002C7140">
            <w:pPr>
              <w:jc w:val="center"/>
            </w:pPr>
            <w:r w:rsidRPr="007D47D4">
              <w:t>2.290</w:t>
            </w:r>
          </w:p>
        </w:tc>
      </w:tr>
      <w:tr w:rsidR="00C66BC7" w:rsidRPr="007D47D4" w14:paraId="7DAAA65F"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377A0476" w14:textId="77777777" w:rsidR="00C66BC7" w:rsidRPr="007D47D4" w:rsidRDefault="00C66BC7" w:rsidP="002C7140">
            <w:r w:rsidRPr="007D47D4">
              <w:t>Producer Manufacturing</w:t>
            </w:r>
          </w:p>
        </w:tc>
        <w:tc>
          <w:tcPr>
            <w:tcW w:w="723" w:type="dxa"/>
            <w:gridSpan w:val="2"/>
            <w:tcBorders>
              <w:top w:val="nil"/>
              <w:left w:val="nil"/>
              <w:bottom w:val="nil"/>
              <w:right w:val="nil"/>
            </w:tcBorders>
            <w:shd w:val="clear" w:color="auto" w:fill="auto"/>
            <w:noWrap/>
            <w:vAlign w:val="bottom"/>
            <w:hideMark/>
          </w:tcPr>
          <w:p w14:paraId="5F09F4E9" w14:textId="77777777" w:rsidR="00C66BC7" w:rsidRPr="007D47D4" w:rsidRDefault="00C66BC7" w:rsidP="002C7140">
            <w:pPr>
              <w:jc w:val="center"/>
            </w:pPr>
            <w:r w:rsidRPr="007D47D4">
              <w:t>11</w:t>
            </w:r>
          </w:p>
        </w:tc>
        <w:tc>
          <w:tcPr>
            <w:tcW w:w="996" w:type="dxa"/>
            <w:gridSpan w:val="2"/>
            <w:tcBorders>
              <w:top w:val="nil"/>
              <w:left w:val="single" w:sz="4" w:space="0" w:color="auto"/>
              <w:bottom w:val="nil"/>
              <w:right w:val="nil"/>
            </w:tcBorders>
            <w:shd w:val="clear" w:color="auto" w:fill="auto"/>
            <w:noWrap/>
            <w:vAlign w:val="bottom"/>
            <w:hideMark/>
          </w:tcPr>
          <w:p w14:paraId="1C058AE1" w14:textId="77777777" w:rsidR="00C66BC7" w:rsidRPr="007D47D4" w:rsidRDefault="00C66BC7" w:rsidP="002C7140">
            <w:pPr>
              <w:jc w:val="center"/>
              <w:rPr>
                <w:b/>
              </w:rPr>
            </w:pPr>
            <w:r w:rsidRPr="007D47D4">
              <w:rPr>
                <w:b/>
              </w:rPr>
              <w:t>12.21%</w:t>
            </w:r>
          </w:p>
        </w:tc>
        <w:tc>
          <w:tcPr>
            <w:tcW w:w="960" w:type="dxa"/>
            <w:gridSpan w:val="2"/>
            <w:tcBorders>
              <w:top w:val="nil"/>
              <w:left w:val="nil"/>
              <w:bottom w:val="nil"/>
              <w:right w:val="nil"/>
            </w:tcBorders>
            <w:shd w:val="clear" w:color="auto" w:fill="auto"/>
            <w:noWrap/>
            <w:vAlign w:val="bottom"/>
            <w:hideMark/>
          </w:tcPr>
          <w:p w14:paraId="1BAD935C" w14:textId="77777777" w:rsidR="00C66BC7" w:rsidRPr="007D47D4" w:rsidRDefault="00C66BC7" w:rsidP="002C7140">
            <w:pPr>
              <w:jc w:val="center"/>
            </w:pPr>
            <w:r w:rsidRPr="007D47D4">
              <w:t>6.69%</w:t>
            </w:r>
          </w:p>
        </w:tc>
        <w:tc>
          <w:tcPr>
            <w:tcW w:w="1047" w:type="dxa"/>
            <w:gridSpan w:val="2"/>
            <w:tcBorders>
              <w:top w:val="nil"/>
              <w:left w:val="nil"/>
              <w:bottom w:val="nil"/>
              <w:right w:val="nil"/>
            </w:tcBorders>
            <w:shd w:val="clear" w:color="auto" w:fill="auto"/>
            <w:noWrap/>
            <w:vAlign w:val="bottom"/>
            <w:hideMark/>
          </w:tcPr>
          <w:p w14:paraId="6CFAFE0C" w14:textId="77777777" w:rsidR="00C66BC7" w:rsidRPr="007D47D4" w:rsidRDefault="00C66BC7" w:rsidP="002C7140">
            <w:pPr>
              <w:jc w:val="center"/>
            </w:pPr>
            <w:r w:rsidRPr="007D47D4">
              <w:t>0.57</w:t>
            </w:r>
          </w:p>
        </w:tc>
        <w:tc>
          <w:tcPr>
            <w:tcW w:w="810" w:type="dxa"/>
            <w:gridSpan w:val="2"/>
            <w:tcBorders>
              <w:top w:val="nil"/>
              <w:left w:val="nil"/>
              <w:bottom w:val="nil"/>
              <w:right w:val="single" w:sz="4" w:space="0" w:color="auto"/>
            </w:tcBorders>
            <w:shd w:val="clear" w:color="auto" w:fill="auto"/>
            <w:noWrap/>
            <w:vAlign w:val="bottom"/>
            <w:hideMark/>
          </w:tcPr>
          <w:p w14:paraId="73F0F317" w14:textId="77777777" w:rsidR="00C66BC7" w:rsidRPr="007D47D4" w:rsidRDefault="00C66BC7" w:rsidP="002C7140">
            <w:pPr>
              <w:jc w:val="center"/>
            </w:pPr>
            <w:r w:rsidRPr="007D47D4">
              <w:t>3.180</w:t>
            </w:r>
          </w:p>
        </w:tc>
      </w:tr>
      <w:tr w:rsidR="00C66BC7" w:rsidRPr="007D47D4" w14:paraId="78F39A50"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16BD95CE" w14:textId="77777777" w:rsidR="00C66BC7" w:rsidRPr="007D47D4" w:rsidRDefault="00C66BC7" w:rsidP="002C7140">
            <w:r w:rsidRPr="007D47D4">
              <w:t>Utilities</w:t>
            </w:r>
          </w:p>
        </w:tc>
        <w:tc>
          <w:tcPr>
            <w:tcW w:w="723" w:type="dxa"/>
            <w:gridSpan w:val="2"/>
            <w:tcBorders>
              <w:top w:val="nil"/>
              <w:left w:val="nil"/>
              <w:bottom w:val="nil"/>
              <w:right w:val="nil"/>
            </w:tcBorders>
            <w:shd w:val="clear" w:color="auto" w:fill="auto"/>
            <w:noWrap/>
            <w:vAlign w:val="bottom"/>
            <w:hideMark/>
          </w:tcPr>
          <w:p w14:paraId="0228CD17" w14:textId="77777777" w:rsidR="00C66BC7" w:rsidRPr="007D47D4" w:rsidRDefault="00C66BC7" w:rsidP="002C7140">
            <w:pPr>
              <w:jc w:val="center"/>
            </w:pPr>
            <w:r w:rsidRPr="007D47D4">
              <w:t>12</w:t>
            </w:r>
          </w:p>
        </w:tc>
        <w:tc>
          <w:tcPr>
            <w:tcW w:w="996" w:type="dxa"/>
            <w:gridSpan w:val="2"/>
            <w:tcBorders>
              <w:top w:val="nil"/>
              <w:left w:val="single" w:sz="4" w:space="0" w:color="auto"/>
              <w:bottom w:val="nil"/>
              <w:right w:val="nil"/>
            </w:tcBorders>
            <w:shd w:val="clear" w:color="auto" w:fill="auto"/>
            <w:noWrap/>
            <w:vAlign w:val="bottom"/>
            <w:hideMark/>
          </w:tcPr>
          <w:p w14:paraId="7250A93E" w14:textId="77777777" w:rsidR="00C66BC7" w:rsidRPr="007D47D4" w:rsidRDefault="00C66BC7" w:rsidP="002C7140">
            <w:pPr>
              <w:jc w:val="center"/>
              <w:rPr>
                <w:b/>
              </w:rPr>
            </w:pPr>
            <w:r w:rsidRPr="007D47D4">
              <w:rPr>
                <w:b/>
              </w:rPr>
              <w:t>9.10%</w:t>
            </w:r>
          </w:p>
        </w:tc>
        <w:tc>
          <w:tcPr>
            <w:tcW w:w="960" w:type="dxa"/>
            <w:gridSpan w:val="2"/>
            <w:tcBorders>
              <w:top w:val="nil"/>
              <w:left w:val="nil"/>
              <w:bottom w:val="nil"/>
              <w:right w:val="nil"/>
            </w:tcBorders>
            <w:shd w:val="clear" w:color="auto" w:fill="auto"/>
            <w:noWrap/>
            <w:vAlign w:val="bottom"/>
            <w:hideMark/>
          </w:tcPr>
          <w:p w14:paraId="1B79B114" w14:textId="77777777" w:rsidR="00C66BC7" w:rsidRPr="007D47D4" w:rsidRDefault="00C66BC7" w:rsidP="002C7140">
            <w:pPr>
              <w:jc w:val="center"/>
            </w:pPr>
            <w:r w:rsidRPr="007D47D4">
              <w:t>9.27%</w:t>
            </w:r>
          </w:p>
        </w:tc>
        <w:tc>
          <w:tcPr>
            <w:tcW w:w="1047" w:type="dxa"/>
            <w:gridSpan w:val="2"/>
            <w:tcBorders>
              <w:top w:val="nil"/>
              <w:left w:val="nil"/>
              <w:bottom w:val="nil"/>
              <w:right w:val="nil"/>
            </w:tcBorders>
            <w:shd w:val="clear" w:color="auto" w:fill="auto"/>
            <w:noWrap/>
            <w:vAlign w:val="bottom"/>
            <w:hideMark/>
          </w:tcPr>
          <w:p w14:paraId="268B18EB" w14:textId="77777777" w:rsidR="00C66BC7" w:rsidRPr="007D47D4" w:rsidRDefault="00C66BC7" w:rsidP="002C7140">
            <w:pPr>
              <w:jc w:val="center"/>
            </w:pPr>
            <w:r w:rsidRPr="007D47D4">
              <w:t>0.27</w:t>
            </w:r>
          </w:p>
        </w:tc>
        <w:tc>
          <w:tcPr>
            <w:tcW w:w="810" w:type="dxa"/>
            <w:gridSpan w:val="2"/>
            <w:tcBorders>
              <w:top w:val="nil"/>
              <w:left w:val="nil"/>
              <w:bottom w:val="nil"/>
              <w:right w:val="single" w:sz="4" w:space="0" w:color="auto"/>
            </w:tcBorders>
            <w:shd w:val="clear" w:color="auto" w:fill="auto"/>
            <w:noWrap/>
            <w:vAlign w:val="bottom"/>
            <w:hideMark/>
          </w:tcPr>
          <w:p w14:paraId="4147C23E" w14:textId="77777777" w:rsidR="00C66BC7" w:rsidRPr="007D47D4" w:rsidRDefault="00C66BC7" w:rsidP="002C7140">
            <w:pPr>
              <w:jc w:val="center"/>
            </w:pPr>
            <w:r w:rsidRPr="007D47D4">
              <w:t>3.640</w:t>
            </w:r>
          </w:p>
        </w:tc>
      </w:tr>
      <w:tr w:rsidR="00C66BC7" w:rsidRPr="007D47D4" w14:paraId="31FC6430" w14:textId="77777777" w:rsidTr="00D76C5B">
        <w:trPr>
          <w:trHeight w:val="300"/>
        </w:trPr>
        <w:tc>
          <w:tcPr>
            <w:tcW w:w="3615" w:type="dxa"/>
            <w:gridSpan w:val="2"/>
            <w:tcBorders>
              <w:top w:val="nil"/>
              <w:left w:val="single" w:sz="4" w:space="0" w:color="auto"/>
              <w:right w:val="single" w:sz="4" w:space="0" w:color="auto"/>
            </w:tcBorders>
            <w:shd w:val="clear" w:color="auto" w:fill="auto"/>
            <w:noWrap/>
            <w:vAlign w:val="bottom"/>
            <w:hideMark/>
          </w:tcPr>
          <w:p w14:paraId="3473EE71" w14:textId="77777777" w:rsidR="00C66BC7" w:rsidRPr="007D47D4" w:rsidRDefault="00C66BC7" w:rsidP="002C7140">
            <w:r w:rsidRPr="007D47D4">
              <w:t>Finance</w:t>
            </w:r>
          </w:p>
        </w:tc>
        <w:tc>
          <w:tcPr>
            <w:tcW w:w="723" w:type="dxa"/>
            <w:gridSpan w:val="2"/>
            <w:tcBorders>
              <w:top w:val="nil"/>
              <w:left w:val="nil"/>
              <w:right w:val="nil"/>
            </w:tcBorders>
            <w:shd w:val="clear" w:color="auto" w:fill="auto"/>
            <w:noWrap/>
            <w:vAlign w:val="bottom"/>
            <w:hideMark/>
          </w:tcPr>
          <w:p w14:paraId="5E8F36CC" w14:textId="77777777" w:rsidR="00C66BC7" w:rsidRPr="007D47D4" w:rsidRDefault="00C66BC7" w:rsidP="002C7140">
            <w:pPr>
              <w:jc w:val="center"/>
            </w:pPr>
            <w:r w:rsidRPr="007D47D4">
              <w:t>13</w:t>
            </w:r>
          </w:p>
        </w:tc>
        <w:tc>
          <w:tcPr>
            <w:tcW w:w="996" w:type="dxa"/>
            <w:gridSpan w:val="2"/>
            <w:tcBorders>
              <w:top w:val="nil"/>
              <w:left w:val="single" w:sz="4" w:space="0" w:color="auto"/>
              <w:right w:val="nil"/>
            </w:tcBorders>
            <w:shd w:val="clear" w:color="auto" w:fill="auto"/>
            <w:noWrap/>
            <w:vAlign w:val="bottom"/>
            <w:hideMark/>
          </w:tcPr>
          <w:p w14:paraId="37361078" w14:textId="77777777" w:rsidR="00C66BC7" w:rsidRPr="007D47D4" w:rsidRDefault="00C66BC7" w:rsidP="002C7140">
            <w:pPr>
              <w:jc w:val="center"/>
              <w:rPr>
                <w:b/>
              </w:rPr>
            </w:pPr>
            <w:r w:rsidRPr="007D47D4">
              <w:rPr>
                <w:b/>
              </w:rPr>
              <w:t>9.05%</w:t>
            </w:r>
          </w:p>
        </w:tc>
        <w:tc>
          <w:tcPr>
            <w:tcW w:w="960" w:type="dxa"/>
            <w:gridSpan w:val="2"/>
            <w:tcBorders>
              <w:top w:val="nil"/>
              <w:left w:val="nil"/>
              <w:right w:val="nil"/>
            </w:tcBorders>
            <w:shd w:val="clear" w:color="auto" w:fill="auto"/>
            <w:noWrap/>
            <w:vAlign w:val="bottom"/>
            <w:hideMark/>
          </w:tcPr>
          <w:p w14:paraId="302295B3" w14:textId="77777777" w:rsidR="00C66BC7" w:rsidRPr="007D47D4" w:rsidRDefault="00C66BC7" w:rsidP="002C7140">
            <w:pPr>
              <w:jc w:val="center"/>
            </w:pPr>
            <w:r w:rsidRPr="007D47D4">
              <w:t>13.51%</w:t>
            </w:r>
          </w:p>
        </w:tc>
        <w:tc>
          <w:tcPr>
            <w:tcW w:w="1047" w:type="dxa"/>
            <w:gridSpan w:val="2"/>
            <w:tcBorders>
              <w:top w:val="nil"/>
              <w:left w:val="nil"/>
              <w:right w:val="nil"/>
            </w:tcBorders>
            <w:shd w:val="clear" w:color="auto" w:fill="auto"/>
            <w:noWrap/>
            <w:vAlign w:val="bottom"/>
            <w:hideMark/>
          </w:tcPr>
          <w:p w14:paraId="39D5C028" w14:textId="77777777" w:rsidR="00C66BC7" w:rsidRPr="007D47D4" w:rsidRDefault="00C66BC7" w:rsidP="002C7140">
            <w:pPr>
              <w:jc w:val="center"/>
            </w:pPr>
            <w:r w:rsidRPr="007D47D4">
              <w:t>0.07</w:t>
            </w:r>
          </w:p>
        </w:tc>
        <w:tc>
          <w:tcPr>
            <w:tcW w:w="810" w:type="dxa"/>
            <w:gridSpan w:val="2"/>
            <w:tcBorders>
              <w:top w:val="nil"/>
              <w:left w:val="nil"/>
              <w:right w:val="single" w:sz="4" w:space="0" w:color="auto"/>
            </w:tcBorders>
            <w:shd w:val="clear" w:color="auto" w:fill="auto"/>
            <w:noWrap/>
            <w:vAlign w:val="bottom"/>
            <w:hideMark/>
          </w:tcPr>
          <w:p w14:paraId="583986FC" w14:textId="77777777" w:rsidR="00C66BC7" w:rsidRPr="007D47D4" w:rsidRDefault="00C66BC7" w:rsidP="002C7140">
            <w:pPr>
              <w:jc w:val="center"/>
            </w:pPr>
            <w:r w:rsidRPr="007D47D4">
              <w:t>9.628</w:t>
            </w:r>
          </w:p>
        </w:tc>
      </w:tr>
      <w:tr w:rsidR="00C66BC7" w:rsidRPr="007D47D4" w14:paraId="68AA7F12" w14:textId="77777777" w:rsidTr="00D76C5B">
        <w:trPr>
          <w:trHeight w:val="300"/>
        </w:trPr>
        <w:tc>
          <w:tcPr>
            <w:tcW w:w="36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9C5BD5" w14:textId="77777777" w:rsidR="00C66BC7" w:rsidRPr="007D47D4" w:rsidRDefault="00C66BC7" w:rsidP="002C7140">
            <w:r w:rsidRPr="007D47D4">
              <w:t>Communications</w:t>
            </w:r>
          </w:p>
        </w:tc>
        <w:tc>
          <w:tcPr>
            <w:tcW w:w="723" w:type="dxa"/>
            <w:gridSpan w:val="2"/>
            <w:tcBorders>
              <w:top w:val="nil"/>
              <w:left w:val="nil"/>
              <w:bottom w:val="single" w:sz="4" w:space="0" w:color="auto"/>
              <w:right w:val="nil"/>
            </w:tcBorders>
            <w:shd w:val="clear" w:color="auto" w:fill="auto"/>
            <w:noWrap/>
            <w:vAlign w:val="bottom"/>
            <w:hideMark/>
          </w:tcPr>
          <w:p w14:paraId="1B7BBE6B" w14:textId="77777777" w:rsidR="00C66BC7" w:rsidRPr="007D47D4" w:rsidRDefault="00C66BC7" w:rsidP="002C7140">
            <w:pPr>
              <w:jc w:val="center"/>
            </w:pPr>
            <w:r w:rsidRPr="007D47D4">
              <w:t>14</w:t>
            </w:r>
          </w:p>
        </w:tc>
        <w:tc>
          <w:tcPr>
            <w:tcW w:w="996" w:type="dxa"/>
            <w:gridSpan w:val="2"/>
            <w:tcBorders>
              <w:top w:val="nil"/>
              <w:left w:val="single" w:sz="4" w:space="0" w:color="auto"/>
              <w:bottom w:val="single" w:sz="4" w:space="0" w:color="auto"/>
              <w:right w:val="nil"/>
            </w:tcBorders>
            <w:shd w:val="clear" w:color="auto" w:fill="auto"/>
            <w:noWrap/>
            <w:vAlign w:val="bottom"/>
            <w:hideMark/>
          </w:tcPr>
          <w:p w14:paraId="7544BFA6" w14:textId="77777777" w:rsidR="00C66BC7" w:rsidRPr="007D47D4" w:rsidRDefault="00C66BC7" w:rsidP="002C7140">
            <w:pPr>
              <w:jc w:val="center"/>
              <w:rPr>
                <w:b/>
              </w:rPr>
            </w:pPr>
            <w:r w:rsidRPr="007D47D4">
              <w:rPr>
                <w:b/>
              </w:rPr>
              <w:t>8.76%</w:t>
            </w:r>
          </w:p>
        </w:tc>
        <w:tc>
          <w:tcPr>
            <w:tcW w:w="960" w:type="dxa"/>
            <w:gridSpan w:val="2"/>
            <w:tcBorders>
              <w:top w:val="nil"/>
              <w:left w:val="nil"/>
              <w:bottom w:val="single" w:sz="4" w:space="0" w:color="auto"/>
              <w:right w:val="nil"/>
            </w:tcBorders>
            <w:shd w:val="clear" w:color="auto" w:fill="auto"/>
            <w:noWrap/>
            <w:vAlign w:val="bottom"/>
            <w:hideMark/>
          </w:tcPr>
          <w:p w14:paraId="697926A8" w14:textId="77777777" w:rsidR="00C66BC7" w:rsidRPr="007D47D4" w:rsidRDefault="00C66BC7" w:rsidP="002C7140">
            <w:pPr>
              <w:jc w:val="center"/>
            </w:pPr>
            <w:r w:rsidRPr="007D47D4">
              <w:t>4.33%</w:t>
            </w:r>
          </w:p>
        </w:tc>
        <w:tc>
          <w:tcPr>
            <w:tcW w:w="1047" w:type="dxa"/>
            <w:gridSpan w:val="2"/>
            <w:tcBorders>
              <w:top w:val="nil"/>
              <w:left w:val="nil"/>
              <w:bottom w:val="single" w:sz="4" w:space="0" w:color="auto"/>
              <w:right w:val="nil"/>
            </w:tcBorders>
            <w:shd w:val="clear" w:color="auto" w:fill="auto"/>
            <w:noWrap/>
            <w:vAlign w:val="bottom"/>
            <w:hideMark/>
          </w:tcPr>
          <w:p w14:paraId="67CCF5B0" w14:textId="77777777" w:rsidR="00C66BC7" w:rsidRPr="007D47D4" w:rsidRDefault="00C66BC7" w:rsidP="002C7140">
            <w:pPr>
              <w:jc w:val="center"/>
            </w:pPr>
            <w:r w:rsidRPr="007D47D4">
              <w:t>0.44</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3CFA480A" w14:textId="77777777" w:rsidR="00C66BC7" w:rsidRPr="007D47D4" w:rsidRDefault="00C66BC7" w:rsidP="002C7140">
            <w:pPr>
              <w:jc w:val="center"/>
            </w:pPr>
            <w:r w:rsidRPr="007D47D4">
              <w:t>4.612</w:t>
            </w:r>
          </w:p>
        </w:tc>
      </w:tr>
    </w:tbl>
    <w:p w14:paraId="52480CAE" w14:textId="77777777" w:rsidR="00C66BC7" w:rsidRDefault="00C66BC7" w:rsidP="00C66BC7">
      <w:pPr>
        <w:spacing w:after="200" w:line="276" w:lineRule="auto"/>
        <w:rPr>
          <w:b/>
          <w:bCs/>
          <w:color w:val="000000"/>
        </w:rPr>
      </w:pPr>
    </w:p>
    <w:p w14:paraId="59D248B4" w14:textId="3A459343" w:rsidR="00D76C5B" w:rsidRPr="007D47D4" w:rsidRDefault="00D76C5B" w:rsidP="00D76C5B">
      <w:pPr>
        <w:keepNext/>
        <w:keepLines/>
        <w:jc w:val="center"/>
        <w:outlineLvl w:val="0"/>
        <w:rPr>
          <w:b/>
          <w:bCs/>
          <w:color w:val="000000"/>
        </w:rPr>
      </w:pPr>
      <w:r w:rsidRPr="007D47D4">
        <w:rPr>
          <w:b/>
          <w:bCs/>
          <w:color w:val="000000"/>
        </w:rPr>
        <w:t>Table 2: DuPont Analysis of The Traditional ROE</w:t>
      </w:r>
      <w:r>
        <w:rPr>
          <w:b/>
          <w:bCs/>
          <w:color w:val="000000"/>
        </w:rPr>
        <w:t xml:space="preserve"> (continued)</w:t>
      </w:r>
    </w:p>
    <w:tbl>
      <w:tblPr>
        <w:tblW w:w="8151" w:type="dxa"/>
        <w:tblInd w:w="93" w:type="dxa"/>
        <w:tblLook w:val="04A0" w:firstRow="1" w:lastRow="0" w:firstColumn="1" w:lastColumn="0" w:noHBand="0" w:noVBand="1"/>
      </w:tblPr>
      <w:tblGrid>
        <w:gridCol w:w="3460"/>
        <w:gridCol w:w="155"/>
        <w:gridCol w:w="568"/>
        <w:gridCol w:w="155"/>
        <w:gridCol w:w="835"/>
        <w:gridCol w:w="161"/>
        <w:gridCol w:w="805"/>
        <w:gridCol w:w="155"/>
        <w:gridCol w:w="805"/>
        <w:gridCol w:w="242"/>
        <w:gridCol w:w="718"/>
        <w:gridCol w:w="92"/>
      </w:tblGrid>
      <w:tr w:rsidR="00D76C5B" w:rsidRPr="007D47D4" w14:paraId="0D7E108C" w14:textId="77777777" w:rsidTr="00D76C5B">
        <w:trPr>
          <w:gridAfter w:val="1"/>
          <w:wAfter w:w="92" w:type="dxa"/>
          <w:trHeight w:val="300"/>
        </w:trPr>
        <w:tc>
          <w:tcPr>
            <w:tcW w:w="3460" w:type="dxa"/>
            <w:tcBorders>
              <w:top w:val="nil"/>
              <w:left w:val="nil"/>
              <w:bottom w:val="nil"/>
              <w:right w:val="nil"/>
            </w:tcBorders>
            <w:shd w:val="clear" w:color="auto" w:fill="auto"/>
            <w:noWrap/>
            <w:vAlign w:val="bottom"/>
          </w:tcPr>
          <w:p w14:paraId="624993C3" w14:textId="77777777" w:rsidR="00D76C5B" w:rsidRPr="007D47D4" w:rsidRDefault="00D76C5B" w:rsidP="002C7140">
            <w:pPr>
              <w:rPr>
                <w:b/>
                <w:bCs/>
                <w:color w:val="000000"/>
              </w:rPr>
            </w:pPr>
          </w:p>
        </w:tc>
        <w:tc>
          <w:tcPr>
            <w:tcW w:w="723" w:type="dxa"/>
            <w:gridSpan w:val="2"/>
            <w:tcBorders>
              <w:top w:val="nil"/>
              <w:left w:val="nil"/>
              <w:bottom w:val="nil"/>
              <w:right w:val="nil"/>
            </w:tcBorders>
            <w:shd w:val="clear" w:color="auto" w:fill="auto"/>
            <w:noWrap/>
            <w:vAlign w:val="bottom"/>
            <w:hideMark/>
          </w:tcPr>
          <w:p w14:paraId="3BB6988D" w14:textId="77777777" w:rsidR="00D76C5B" w:rsidRPr="007D47D4" w:rsidRDefault="00D76C5B" w:rsidP="002C7140">
            <w:pPr>
              <w:rPr>
                <w:b/>
                <w:bCs/>
                <w:color w:val="000000"/>
              </w:rPr>
            </w:pPr>
          </w:p>
        </w:tc>
        <w:tc>
          <w:tcPr>
            <w:tcW w:w="990" w:type="dxa"/>
            <w:gridSpan w:val="2"/>
            <w:tcBorders>
              <w:top w:val="nil"/>
              <w:left w:val="nil"/>
              <w:bottom w:val="nil"/>
              <w:right w:val="nil"/>
            </w:tcBorders>
            <w:shd w:val="clear" w:color="auto" w:fill="auto"/>
            <w:noWrap/>
            <w:vAlign w:val="bottom"/>
            <w:hideMark/>
          </w:tcPr>
          <w:p w14:paraId="67072499" w14:textId="77777777" w:rsidR="00D76C5B" w:rsidRPr="007D47D4" w:rsidRDefault="00D76C5B" w:rsidP="002C7140">
            <w:pPr>
              <w:rPr>
                <w:color w:val="000000"/>
              </w:rPr>
            </w:pPr>
          </w:p>
        </w:tc>
        <w:tc>
          <w:tcPr>
            <w:tcW w:w="966" w:type="dxa"/>
            <w:gridSpan w:val="2"/>
            <w:tcBorders>
              <w:top w:val="nil"/>
              <w:left w:val="nil"/>
              <w:bottom w:val="nil"/>
              <w:right w:val="nil"/>
            </w:tcBorders>
            <w:shd w:val="clear" w:color="auto" w:fill="auto"/>
            <w:noWrap/>
            <w:vAlign w:val="bottom"/>
            <w:hideMark/>
          </w:tcPr>
          <w:p w14:paraId="1813F772" w14:textId="77777777" w:rsidR="00D76C5B" w:rsidRPr="007D47D4" w:rsidRDefault="00D76C5B" w:rsidP="002C7140">
            <w:pPr>
              <w:rPr>
                <w:color w:val="000000"/>
              </w:rPr>
            </w:pPr>
          </w:p>
        </w:tc>
        <w:tc>
          <w:tcPr>
            <w:tcW w:w="960" w:type="dxa"/>
            <w:gridSpan w:val="2"/>
            <w:tcBorders>
              <w:top w:val="nil"/>
              <w:left w:val="nil"/>
              <w:bottom w:val="nil"/>
              <w:right w:val="nil"/>
            </w:tcBorders>
            <w:shd w:val="clear" w:color="auto" w:fill="auto"/>
            <w:noWrap/>
            <w:vAlign w:val="bottom"/>
            <w:hideMark/>
          </w:tcPr>
          <w:p w14:paraId="51089F8A" w14:textId="77777777" w:rsidR="00D76C5B" w:rsidRPr="007D47D4" w:rsidRDefault="00D76C5B" w:rsidP="002C7140">
            <w:pPr>
              <w:rPr>
                <w:color w:val="000000"/>
              </w:rPr>
            </w:pPr>
          </w:p>
        </w:tc>
        <w:tc>
          <w:tcPr>
            <w:tcW w:w="960" w:type="dxa"/>
            <w:gridSpan w:val="2"/>
            <w:tcBorders>
              <w:top w:val="nil"/>
              <w:left w:val="nil"/>
              <w:bottom w:val="nil"/>
              <w:right w:val="nil"/>
            </w:tcBorders>
            <w:shd w:val="clear" w:color="auto" w:fill="auto"/>
            <w:noWrap/>
            <w:vAlign w:val="bottom"/>
            <w:hideMark/>
          </w:tcPr>
          <w:p w14:paraId="52DD43C7" w14:textId="77777777" w:rsidR="00D76C5B" w:rsidRPr="007D47D4" w:rsidRDefault="00D76C5B" w:rsidP="002C7140">
            <w:pPr>
              <w:rPr>
                <w:color w:val="000000"/>
              </w:rPr>
            </w:pPr>
          </w:p>
        </w:tc>
      </w:tr>
      <w:tr w:rsidR="00D76C5B" w:rsidRPr="007D47D4" w14:paraId="5733D66E" w14:textId="77777777" w:rsidTr="00D76C5B">
        <w:trPr>
          <w:trHeight w:val="300"/>
        </w:trPr>
        <w:tc>
          <w:tcPr>
            <w:tcW w:w="36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D89E0" w14:textId="77777777" w:rsidR="00D76C5B" w:rsidRPr="007D47D4" w:rsidRDefault="00D76C5B" w:rsidP="002C7140">
            <w:r w:rsidRPr="007D47D4">
              <w:t> </w:t>
            </w:r>
          </w:p>
        </w:tc>
        <w:tc>
          <w:tcPr>
            <w:tcW w:w="723" w:type="dxa"/>
            <w:gridSpan w:val="2"/>
            <w:tcBorders>
              <w:top w:val="single" w:sz="4" w:space="0" w:color="auto"/>
              <w:left w:val="nil"/>
              <w:bottom w:val="single" w:sz="4" w:space="0" w:color="auto"/>
              <w:right w:val="nil"/>
            </w:tcBorders>
            <w:shd w:val="clear" w:color="auto" w:fill="auto"/>
            <w:noWrap/>
            <w:vAlign w:val="bottom"/>
            <w:hideMark/>
          </w:tcPr>
          <w:p w14:paraId="11AF2700" w14:textId="77777777" w:rsidR="00D76C5B" w:rsidRPr="007D47D4" w:rsidRDefault="00D76C5B" w:rsidP="002C7140">
            <w:pPr>
              <w:jc w:val="center"/>
            </w:pPr>
            <w:r w:rsidRPr="007D47D4">
              <w:t>Rank</w:t>
            </w:r>
          </w:p>
        </w:tc>
        <w:tc>
          <w:tcPr>
            <w:tcW w:w="996" w:type="dxa"/>
            <w:gridSpan w:val="2"/>
            <w:tcBorders>
              <w:top w:val="single" w:sz="4" w:space="0" w:color="auto"/>
              <w:left w:val="single" w:sz="4" w:space="0" w:color="auto"/>
              <w:bottom w:val="single" w:sz="4" w:space="0" w:color="auto"/>
              <w:right w:val="nil"/>
            </w:tcBorders>
            <w:shd w:val="clear" w:color="auto" w:fill="auto"/>
            <w:noWrap/>
            <w:vAlign w:val="bottom"/>
            <w:hideMark/>
          </w:tcPr>
          <w:p w14:paraId="0777EF90" w14:textId="77777777" w:rsidR="00D76C5B" w:rsidRPr="007D47D4" w:rsidRDefault="00D76C5B" w:rsidP="002C7140">
            <w:pPr>
              <w:jc w:val="center"/>
              <w:rPr>
                <w:b/>
              </w:rPr>
            </w:pPr>
            <w:r w:rsidRPr="007D47D4">
              <w:rPr>
                <w:b/>
              </w:rPr>
              <w:t>ROE  =</w:t>
            </w: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1F2E2282" w14:textId="77777777" w:rsidR="00D76C5B" w:rsidRPr="007D47D4" w:rsidRDefault="00D76C5B" w:rsidP="002C7140">
            <w:pPr>
              <w:jc w:val="center"/>
            </w:pPr>
            <w:r w:rsidRPr="007D47D4">
              <w:t>PM  x</w:t>
            </w:r>
          </w:p>
        </w:tc>
        <w:tc>
          <w:tcPr>
            <w:tcW w:w="1047" w:type="dxa"/>
            <w:gridSpan w:val="2"/>
            <w:tcBorders>
              <w:top w:val="single" w:sz="4" w:space="0" w:color="auto"/>
              <w:left w:val="nil"/>
              <w:bottom w:val="single" w:sz="4" w:space="0" w:color="auto"/>
              <w:right w:val="nil"/>
            </w:tcBorders>
            <w:shd w:val="clear" w:color="auto" w:fill="auto"/>
            <w:noWrap/>
            <w:vAlign w:val="bottom"/>
            <w:hideMark/>
          </w:tcPr>
          <w:p w14:paraId="47EE9BBC" w14:textId="77777777" w:rsidR="00D76C5B" w:rsidRPr="007D47D4" w:rsidRDefault="00D76C5B" w:rsidP="002C7140">
            <w:pPr>
              <w:jc w:val="center"/>
            </w:pPr>
            <w:r w:rsidRPr="007D47D4">
              <w:t>TATO  x</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D95237" w14:textId="77777777" w:rsidR="00D76C5B" w:rsidRPr="007D47D4" w:rsidRDefault="00D76C5B" w:rsidP="002C7140">
            <w:pPr>
              <w:jc w:val="center"/>
            </w:pPr>
            <w:r w:rsidRPr="007D47D4">
              <w:t>EM</w:t>
            </w:r>
          </w:p>
        </w:tc>
      </w:tr>
      <w:tr w:rsidR="00D76C5B" w:rsidRPr="007D47D4" w14:paraId="76EA0402"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37862A75" w14:textId="77777777" w:rsidR="00D76C5B" w:rsidRPr="007D47D4" w:rsidRDefault="00D76C5B" w:rsidP="002C7140">
            <w:r w:rsidRPr="007D47D4">
              <w:t>Industrial Services</w:t>
            </w:r>
          </w:p>
        </w:tc>
        <w:tc>
          <w:tcPr>
            <w:tcW w:w="723" w:type="dxa"/>
            <w:gridSpan w:val="2"/>
            <w:tcBorders>
              <w:top w:val="nil"/>
              <w:left w:val="nil"/>
              <w:bottom w:val="nil"/>
              <w:right w:val="nil"/>
            </w:tcBorders>
            <w:shd w:val="clear" w:color="auto" w:fill="auto"/>
            <w:noWrap/>
            <w:vAlign w:val="bottom"/>
            <w:hideMark/>
          </w:tcPr>
          <w:p w14:paraId="31178D7E" w14:textId="77777777" w:rsidR="00D76C5B" w:rsidRPr="007D47D4" w:rsidRDefault="00D76C5B" w:rsidP="002C7140">
            <w:pPr>
              <w:jc w:val="center"/>
            </w:pPr>
            <w:r w:rsidRPr="007D47D4">
              <w:t>15</w:t>
            </w:r>
          </w:p>
        </w:tc>
        <w:tc>
          <w:tcPr>
            <w:tcW w:w="996" w:type="dxa"/>
            <w:gridSpan w:val="2"/>
            <w:tcBorders>
              <w:top w:val="nil"/>
              <w:left w:val="single" w:sz="4" w:space="0" w:color="auto"/>
              <w:bottom w:val="nil"/>
              <w:right w:val="nil"/>
            </w:tcBorders>
            <w:shd w:val="clear" w:color="auto" w:fill="auto"/>
            <w:noWrap/>
            <w:vAlign w:val="bottom"/>
            <w:hideMark/>
          </w:tcPr>
          <w:p w14:paraId="6F9BDD15" w14:textId="77777777" w:rsidR="00D76C5B" w:rsidRPr="007D47D4" w:rsidRDefault="00D76C5B" w:rsidP="002C7140">
            <w:pPr>
              <w:jc w:val="center"/>
              <w:rPr>
                <w:b/>
              </w:rPr>
            </w:pPr>
            <w:r w:rsidRPr="007D47D4">
              <w:rPr>
                <w:b/>
              </w:rPr>
              <w:t>7.52%</w:t>
            </w:r>
          </w:p>
        </w:tc>
        <w:tc>
          <w:tcPr>
            <w:tcW w:w="960" w:type="dxa"/>
            <w:gridSpan w:val="2"/>
            <w:tcBorders>
              <w:top w:val="nil"/>
              <w:left w:val="nil"/>
              <w:bottom w:val="nil"/>
              <w:right w:val="nil"/>
            </w:tcBorders>
            <w:shd w:val="clear" w:color="auto" w:fill="auto"/>
            <w:noWrap/>
            <w:vAlign w:val="bottom"/>
            <w:hideMark/>
          </w:tcPr>
          <w:p w14:paraId="497D6551" w14:textId="77777777" w:rsidR="00D76C5B" w:rsidRPr="007D47D4" w:rsidRDefault="00D76C5B" w:rsidP="002C7140">
            <w:pPr>
              <w:jc w:val="center"/>
            </w:pPr>
            <w:r w:rsidRPr="007D47D4">
              <w:t>5.04%</w:t>
            </w:r>
          </w:p>
        </w:tc>
        <w:tc>
          <w:tcPr>
            <w:tcW w:w="1047" w:type="dxa"/>
            <w:gridSpan w:val="2"/>
            <w:tcBorders>
              <w:top w:val="nil"/>
              <w:left w:val="nil"/>
              <w:bottom w:val="nil"/>
              <w:right w:val="nil"/>
            </w:tcBorders>
            <w:shd w:val="clear" w:color="auto" w:fill="auto"/>
            <w:noWrap/>
            <w:vAlign w:val="bottom"/>
            <w:hideMark/>
          </w:tcPr>
          <w:p w14:paraId="6AA4A379" w14:textId="77777777" w:rsidR="00D76C5B" w:rsidRPr="007D47D4" w:rsidRDefault="00D76C5B" w:rsidP="002C7140">
            <w:pPr>
              <w:jc w:val="center"/>
            </w:pPr>
            <w:r w:rsidRPr="007D47D4">
              <w:t>0.55</w:t>
            </w:r>
          </w:p>
        </w:tc>
        <w:tc>
          <w:tcPr>
            <w:tcW w:w="810" w:type="dxa"/>
            <w:gridSpan w:val="2"/>
            <w:tcBorders>
              <w:top w:val="nil"/>
              <w:left w:val="nil"/>
              <w:bottom w:val="nil"/>
              <w:right w:val="single" w:sz="4" w:space="0" w:color="auto"/>
            </w:tcBorders>
            <w:shd w:val="clear" w:color="auto" w:fill="auto"/>
            <w:noWrap/>
            <w:vAlign w:val="bottom"/>
            <w:hideMark/>
          </w:tcPr>
          <w:p w14:paraId="49204AFF" w14:textId="77777777" w:rsidR="00D76C5B" w:rsidRPr="007D47D4" w:rsidRDefault="00D76C5B" w:rsidP="002C7140">
            <w:pPr>
              <w:jc w:val="center"/>
            </w:pPr>
            <w:r w:rsidRPr="007D47D4">
              <w:t>2.724</w:t>
            </w:r>
          </w:p>
        </w:tc>
      </w:tr>
      <w:tr w:rsidR="00D76C5B" w:rsidRPr="007D47D4" w14:paraId="67D4D342" w14:textId="77777777" w:rsidTr="00D76C5B">
        <w:trPr>
          <w:trHeight w:val="300"/>
        </w:trPr>
        <w:tc>
          <w:tcPr>
            <w:tcW w:w="3615" w:type="dxa"/>
            <w:gridSpan w:val="2"/>
            <w:tcBorders>
              <w:top w:val="nil"/>
              <w:left w:val="single" w:sz="4" w:space="0" w:color="auto"/>
              <w:bottom w:val="nil"/>
              <w:right w:val="single" w:sz="4" w:space="0" w:color="auto"/>
            </w:tcBorders>
            <w:shd w:val="clear" w:color="auto" w:fill="auto"/>
            <w:noWrap/>
            <w:vAlign w:val="bottom"/>
            <w:hideMark/>
          </w:tcPr>
          <w:p w14:paraId="0AA8A5BC" w14:textId="77777777" w:rsidR="00D76C5B" w:rsidRPr="007D47D4" w:rsidRDefault="00D76C5B" w:rsidP="002C7140">
            <w:r w:rsidRPr="007D47D4">
              <w:t>Energy Minerals</w:t>
            </w:r>
          </w:p>
        </w:tc>
        <w:tc>
          <w:tcPr>
            <w:tcW w:w="723" w:type="dxa"/>
            <w:gridSpan w:val="2"/>
            <w:tcBorders>
              <w:top w:val="nil"/>
              <w:left w:val="nil"/>
              <w:bottom w:val="nil"/>
              <w:right w:val="nil"/>
            </w:tcBorders>
            <w:shd w:val="clear" w:color="auto" w:fill="auto"/>
            <w:noWrap/>
            <w:vAlign w:val="bottom"/>
            <w:hideMark/>
          </w:tcPr>
          <w:p w14:paraId="02EACB15" w14:textId="77777777" w:rsidR="00D76C5B" w:rsidRPr="007D47D4" w:rsidRDefault="00D76C5B" w:rsidP="002C7140">
            <w:pPr>
              <w:jc w:val="center"/>
            </w:pPr>
            <w:r w:rsidRPr="007D47D4">
              <w:t>16</w:t>
            </w:r>
          </w:p>
        </w:tc>
        <w:tc>
          <w:tcPr>
            <w:tcW w:w="996" w:type="dxa"/>
            <w:gridSpan w:val="2"/>
            <w:tcBorders>
              <w:top w:val="nil"/>
              <w:left w:val="single" w:sz="4" w:space="0" w:color="auto"/>
              <w:bottom w:val="nil"/>
              <w:right w:val="nil"/>
            </w:tcBorders>
            <w:shd w:val="clear" w:color="auto" w:fill="auto"/>
            <w:noWrap/>
            <w:vAlign w:val="bottom"/>
            <w:hideMark/>
          </w:tcPr>
          <w:p w14:paraId="047D976F" w14:textId="77777777" w:rsidR="00D76C5B" w:rsidRPr="007D47D4" w:rsidRDefault="00D76C5B" w:rsidP="002C7140">
            <w:pPr>
              <w:jc w:val="center"/>
              <w:rPr>
                <w:b/>
              </w:rPr>
            </w:pPr>
            <w:r w:rsidRPr="007D47D4">
              <w:rPr>
                <w:b/>
              </w:rPr>
              <w:t>3.98%</w:t>
            </w:r>
          </w:p>
        </w:tc>
        <w:tc>
          <w:tcPr>
            <w:tcW w:w="960" w:type="dxa"/>
            <w:gridSpan w:val="2"/>
            <w:tcBorders>
              <w:top w:val="nil"/>
              <w:left w:val="nil"/>
              <w:bottom w:val="nil"/>
              <w:right w:val="nil"/>
            </w:tcBorders>
            <w:shd w:val="clear" w:color="auto" w:fill="auto"/>
            <w:noWrap/>
            <w:vAlign w:val="bottom"/>
            <w:hideMark/>
          </w:tcPr>
          <w:p w14:paraId="612736A5" w14:textId="77777777" w:rsidR="00D76C5B" w:rsidRPr="007D47D4" w:rsidRDefault="00D76C5B" w:rsidP="002C7140">
            <w:pPr>
              <w:jc w:val="center"/>
            </w:pPr>
            <w:r w:rsidRPr="007D47D4">
              <w:t>3.27%</w:t>
            </w:r>
          </w:p>
        </w:tc>
        <w:tc>
          <w:tcPr>
            <w:tcW w:w="1047" w:type="dxa"/>
            <w:gridSpan w:val="2"/>
            <w:tcBorders>
              <w:top w:val="nil"/>
              <w:left w:val="nil"/>
              <w:bottom w:val="nil"/>
              <w:right w:val="nil"/>
            </w:tcBorders>
            <w:shd w:val="clear" w:color="auto" w:fill="auto"/>
            <w:noWrap/>
            <w:vAlign w:val="bottom"/>
            <w:hideMark/>
          </w:tcPr>
          <w:p w14:paraId="3868470E" w14:textId="77777777" w:rsidR="00D76C5B" w:rsidRPr="007D47D4" w:rsidRDefault="00D76C5B" w:rsidP="002C7140">
            <w:pPr>
              <w:jc w:val="center"/>
            </w:pPr>
            <w:r w:rsidRPr="007D47D4">
              <w:t>0.57</w:t>
            </w:r>
          </w:p>
        </w:tc>
        <w:tc>
          <w:tcPr>
            <w:tcW w:w="810" w:type="dxa"/>
            <w:gridSpan w:val="2"/>
            <w:tcBorders>
              <w:top w:val="nil"/>
              <w:left w:val="nil"/>
              <w:bottom w:val="nil"/>
              <w:right w:val="single" w:sz="4" w:space="0" w:color="auto"/>
            </w:tcBorders>
            <w:shd w:val="clear" w:color="auto" w:fill="auto"/>
            <w:noWrap/>
            <w:vAlign w:val="bottom"/>
            <w:hideMark/>
          </w:tcPr>
          <w:p w14:paraId="137AC499" w14:textId="77777777" w:rsidR="00D76C5B" w:rsidRPr="007D47D4" w:rsidRDefault="00D76C5B" w:rsidP="002C7140">
            <w:pPr>
              <w:jc w:val="center"/>
            </w:pPr>
            <w:r w:rsidRPr="007D47D4">
              <w:t>2.149</w:t>
            </w:r>
          </w:p>
        </w:tc>
      </w:tr>
      <w:tr w:rsidR="00D76C5B" w:rsidRPr="007D47D4" w14:paraId="712D127B" w14:textId="77777777" w:rsidTr="00D76C5B">
        <w:trPr>
          <w:trHeight w:val="300"/>
        </w:trPr>
        <w:tc>
          <w:tcPr>
            <w:tcW w:w="36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B97539" w14:textId="77777777" w:rsidR="00D76C5B" w:rsidRPr="007D47D4" w:rsidRDefault="00D76C5B" w:rsidP="002C7140">
            <w:r w:rsidRPr="007D47D4">
              <w:t>Non-Energy Minerals</w:t>
            </w:r>
          </w:p>
        </w:tc>
        <w:tc>
          <w:tcPr>
            <w:tcW w:w="723" w:type="dxa"/>
            <w:gridSpan w:val="2"/>
            <w:tcBorders>
              <w:top w:val="nil"/>
              <w:left w:val="nil"/>
              <w:bottom w:val="single" w:sz="4" w:space="0" w:color="auto"/>
              <w:right w:val="nil"/>
            </w:tcBorders>
            <w:shd w:val="clear" w:color="auto" w:fill="auto"/>
            <w:noWrap/>
            <w:vAlign w:val="bottom"/>
            <w:hideMark/>
          </w:tcPr>
          <w:p w14:paraId="67D2FB46" w14:textId="77777777" w:rsidR="00D76C5B" w:rsidRPr="007D47D4" w:rsidRDefault="00D76C5B" w:rsidP="002C7140">
            <w:pPr>
              <w:jc w:val="center"/>
            </w:pPr>
            <w:r w:rsidRPr="007D47D4">
              <w:t>17</w:t>
            </w:r>
          </w:p>
        </w:tc>
        <w:tc>
          <w:tcPr>
            <w:tcW w:w="996" w:type="dxa"/>
            <w:gridSpan w:val="2"/>
            <w:tcBorders>
              <w:top w:val="nil"/>
              <w:left w:val="single" w:sz="4" w:space="0" w:color="auto"/>
              <w:bottom w:val="single" w:sz="4" w:space="0" w:color="auto"/>
              <w:right w:val="nil"/>
            </w:tcBorders>
            <w:shd w:val="clear" w:color="auto" w:fill="auto"/>
            <w:noWrap/>
            <w:vAlign w:val="bottom"/>
            <w:hideMark/>
          </w:tcPr>
          <w:p w14:paraId="23FE9807" w14:textId="77777777" w:rsidR="00D76C5B" w:rsidRPr="007D47D4" w:rsidRDefault="00D76C5B" w:rsidP="002C7140">
            <w:pPr>
              <w:jc w:val="center"/>
              <w:rPr>
                <w:b/>
              </w:rPr>
            </w:pPr>
            <w:r w:rsidRPr="007D47D4">
              <w:rPr>
                <w:b/>
              </w:rPr>
              <w:t>1.47%</w:t>
            </w:r>
          </w:p>
        </w:tc>
        <w:tc>
          <w:tcPr>
            <w:tcW w:w="960" w:type="dxa"/>
            <w:gridSpan w:val="2"/>
            <w:tcBorders>
              <w:top w:val="nil"/>
              <w:left w:val="nil"/>
              <w:bottom w:val="single" w:sz="4" w:space="0" w:color="auto"/>
              <w:right w:val="nil"/>
            </w:tcBorders>
            <w:shd w:val="clear" w:color="auto" w:fill="auto"/>
            <w:noWrap/>
            <w:vAlign w:val="bottom"/>
            <w:hideMark/>
          </w:tcPr>
          <w:p w14:paraId="791B1816" w14:textId="77777777" w:rsidR="00D76C5B" w:rsidRPr="007D47D4" w:rsidRDefault="00D76C5B" w:rsidP="002C7140">
            <w:pPr>
              <w:jc w:val="center"/>
            </w:pPr>
            <w:r w:rsidRPr="007D47D4">
              <w:t>1.44%</w:t>
            </w:r>
          </w:p>
        </w:tc>
        <w:tc>
          <w:tcPr>
            <w:tcW w:w="1047" w:type="dxa"/>
            <w:gridSpan w:val="2"/>
            <w:tcBorders>
              <w:top w:val="nil"/>
              <w:left w:val="nil"/>
              <w:bottom w:val="single" w:sz="4" w:space="0" w:color="auto"/>
              <w:right w:val="nil"/>
            </w:tcBorders>
            <w:shd w:val="clear" w:color="auto" w:fill="auto"/>
            <w:noWrap/>
            <w:vAlign w:val="bottom"/>
            <w:hideMark/>
          </w:tcPr>
          <w:p w14:paraId="1F77F224" w14:textId="77777777" w:rsidR="00D76C5B" w:rsidRPr="007D47D4" w:rsidRDefault="00D76C5B" w:rsidP="002C7140">
            <w:pPr>
              <w:jc w:val="center"/>
            </w:pPr>
            <w:r w:rsidRPr="007D47D4">
              <w:t>0.47</w:t>
            </w:r>
          </w:p>
        </w:tc>
        <w:tc>
          <w:tcPr>
            <w:tcW w:w="810" w:type="dxa"/>
            <w:gridSpan w:val="2"/>
            <w:tcBorders>
              <w:top w:val="nil"/>
              <w:left w:val="nil"/>
              <w:bottom w:val="single" w:sz="4" w:space="0" w:color="auto"/>
              <w:right w:val="single" w:sz="4" w:space="0" w:color="auto"/>
            </w:tcBorders>
            <w:shd w:val="clear" w:color="auto" w:fill="auto"/>
            <w:noWrap/>
            <w:vAlign w:val="bottom"/>
            <w:hideMark/>
          </w:tcPr>
          <w:p w14:paraId="57910301" w14:textId="77777777" w:rsidR="00D76C5B" w:rsidRPr="007D47D4" w:rsidRDefault="00D76C5B" w:rsidP="002C7140">
            <w:pPr>
              <w:jc w:val="center"/>
            </w:pPr>
            <w:r w:rsidRPr="007D47D4">
              <w:t>2.192</w:t>
            </w:r>
          </w:p>
        </w:tc>
      </w:tr>
    </w:tbl>
    <w:p w14:paraId="352A2493" w14:textId="77777777" w:rsidR="00D76C5B" w:rsidRDefault="00D76C5B" w:rsidP="0089053C">
      <w:pPr>
        <w:rPr>
          <w:b/>
          <w:bCs/>
          <w:color w:val="000000"/>
        </w:rPr>
      </w:pPr>
    </w:p>
    <w:p w14:paraId="02ADE70B" w14:textId="665F7294" w:rsidR="00710D65" w:rsidRPr="007D47D4" w:rsidRDefault="00C21347" w:rsidP="0089053C">
      <w:pPr>
        <w:ind w:firstLine="720"/>
        <w:jc w:val="both"/>
        <w:rPr>
          <w:bCs/>
          <w:kern w:val="32"/>
        </w:rPr>
      </w:pPr>
      <w:r w:rsidRPr="007D47D4">
        <w:rPr>
          <w:bCs/>
          <w:kern w:val="32"/>
        </w:rPr>
        <w:t xml:space="preserve">Table 3 </w:t>
      </w:r>
      <w:r w:rsidR="00CF1096" w:rsidRPr="007D47D4">
        <w:rPr>
          <w:bCs/>
          <w:kern w:val="32"/>
        </w:rPr>
        <w:t xml:space="preserve">ranks the sector industries based on the ROME factor. As with Table 2, components of the DuPont Analysis are included along with the addition of book-to-market. While Transportation and Electronic Technology </w:t>
      </w:r>
      <w:r w:rsidR="00E6361B" w:rsidRPr="007D47D4">
        <w:rPr>
          <w:bCs/>
          <w:kern w:val="32"/>
        </w:rPr>
        <w:t>remain</w:t>
      </w:r>
      <w:r w:rsidR="00CF1096" w:rsidRPr="007D47D4">
        <w:rPr>
          <w:bCs/>
          <w:kern w:val="32"/>
        </w:rPr>
        <w:t xml:space="preserve"> in the top quartile of sectors,</w:t>
      </w:r>
      <w:r w:rsidR="00E6361B" w:rsidRPr="007D47D4">
        <w:rPr>
          <w:bCs/>
          <w:kern w:val="32"/>
        </w:rPr>
        <w:t xml:space="preserve"> Consumer Non-Durable and Retail Trade have dropped out to be replaced by</w:t>
      </w:r>
      <w:r w:rsidR="00CF1096" w:rsidRPr="007D47D4">
        <w:rPr>
          <w:bCs/>
          <w:kern w:val="32"/>
        </w:rPr>
        <w:t xml:space="preserve"> Finance and Consumer Durables. It is important to </w:t>
      </w:r>
      <w:r w:rsidR="00EA4B24" w:rsidRPr="007D47D4">
        <w:rPr>
          <w:bCs/>
          <w:kern w:val="32"/>
        </w:rPr>
        <w:t xml:space="preserve">highlight here that the ROME rankings </w:t>
      </w:r>
      <w:r w:rsidR="00CF1096" w:rsidRPr="007D47D4">
        <w:rPr>
          <w:bCs/>
          <w:kern w:val="32"/>
        </w:rPr>
        <w:t xml:space="preserve">in Table 3, are not </w:t>
      </w:r>
      <w:r w:rsidR="00EA4B24" w:rsidRPr="007D47D4">
        <w:rPr>
          <w:bCs/>
          <w:kern w:val="32"/>
        </w:rPr>
        <w:t>merely</w:t>
      </w:r>
      <w:r w:rsidR="00CF1096" w:rsidRPr="007D47D4">
        <w:rPr>
          <w:bCs/>
          <w:kern w:val="32"/>
        </w:rPr>
        <w:t xml:space="preserve"> a re-ranking of firms by book-to-market. </w:t>
      </w:r>
      <w:r w:rsidR="00751F6F" w:rsidRPr="007D47D4">
        <w:rPr>
          <w:bCs/>
          <w:kern w:val="32"/>
        </w:rPr>
        <w:t xml:space="preserve">The table </w:t>
      </w:r>
      <w:r w:rsidR="00EA4B24" w:rsidRPr="007D47D4">
        <w:rPr>
          <w:bCs/>
          <w:kern w:val="32"/>
        </w:rPr>
        <w:t xml:space="preserve">also highlights that the book-to-market ratio does not solely drive these rankings; similar to a traditional DuPont analysis, it is </w:t>
      </w:r>
      <w:r w:rsidR="005A05F7" w:rsidRPr="007D47D4">
        <w:rPr>
          <w:bCs/>
          <w:kern w:val="32"/>
        </w:rPr>
        <w:t>the</w:t>
      </w:r>
      <w:r w:rsidR="00EA4B24" w:rsidRPr="007D47D4">
        <w:rPr>
          <w:bCs/>
          <w:kern w:val="32"/>
        </w:rPr>
        <w:t xml:space="preserve"> combination of the various components. For example, the </w:t>
      </w:r>
      <w:r w:rsidR="00CF1096" w:rsidRPr="007D47D4">
        <w:rPr>
          <w:bCs/>
          <w:kern w:val="32"/>
        </w:rPr>
        <w:t xml:space="preserve">Finance sector </w:t>
      </w:r>
      <w:r w:rsidR="00B349D6" w:rsidRPr="007D47D4">
        <w:rPr>
          <w:bCs/>
          <w:kern w:val="32"/>
        </w:rPr>
        <w:t xml:space="preserve">ranked #3 </w:t>
      </w:r>
      <w:r w:rsidR="00CF1096" w:rsidRPr="007D47D4">
        <w:rPr>
          <w:bCs/>
          <w:kern w:val="32"/>
        </w:rPr>
        <w:t xml:space="preserve">has one of the highest book-to-market ratios while the Electronic Technology sector </w:t>
      </w:r>
      <w:r w:rsidR="00B349D6" w:rsidRPr="007D47D4">
        <w:rPr>
          <w:bCs/>
          <w:kern w:val="32"/>
        </w:rPr>
        <w:t xml:space="preserve">at </w:t>
      </w:r>
      <w:r w:rsidR="005A05F7" w:rsidRPr="007D47D4">
        <w:rPr>
          <w:bCs/>
          <w:kern w:val="32"/>
        </w:rPr>
        <w:t>#</w:t>
      </w:r>
      <w:r w:rsidR="00B349D6" w:rsidRPr="007D47D4">
        <w:rPr>
          <w:bCs/>
          <w:kern w:val="32"/>
        </w:rPr>
        <w:t xml:space="preserve">4 </w:t>
      </w:r>
      <w:r w:rsidR="00CF1096" w:rsidRPr="007D47D4">
        <w:rPr>
          <w:bCs/>
          <w:kern w:val="32"/>
        </w:rPr>
        <w:t>has one of the lowest</w:t>
      </w:r>
      <w:r w:rsidR="00B349D6" w:rsidRPr="007D47D4">
        <w:rPr>
          <w:bCs/>
          <w:kern w:val="32"/>
        </w:rPr>
        <w:t xml:space="preserve"> ratios; Non-Energy Minerals with the highest book-to-market ratio is at the bottom of the rankings, while Transportation with a very low book-to-market ratios is at the top</w:t>
      </w:r>
      <w:r w:rsidR="00CF1096" w:rsidRPr="007D47D4">
        <w:rPr>
          <w:bCs/>
          <w:kern w:val="32"/>
        </w:rPr>
        <w:t xml:space="preserve">. </w:t>
      </w:r>
      <w:r w:rsidR="00B349D6" w:rsidRPr="007D47D4">
        <w:rPr>
          <w:bCs/>
          <w:kern w:val="32"/>
        </w:rPr>
        <w:t>Also, t</w:t>
      </w:r>
      <w:r w:rsidR="00CF1096" w:rsidRPr="007D47D4">
        <w:rPr>
          <w:bCs/>
          <w:kern w:val="32"/>
        </w:rPr>
        <w:t>he ROME measure narrow</w:t>
      </w:r>
      <w:r w:rsidR="00B349D6" w:rsidRPr="007D47D4">
        <w:rPr>
          <w:bCs/>
          <w:kern w:val="32"/>
        </w:rPr>
        <w:t>s</w:t>
      </w:r>
      <w:r w:rsidR="00CF1096" w:rsidRPr="007D47D4">
        <w:rPr>
          <w:bCs/>
          <w:kern w:val="32"/>
        </w:rPr>
        <w:t xml:space="preserve"> the </w:t>
      </w:r>
      <w:r w:rsidR="00B349D6" w:rsidRPr="007D47D4">
        <w:rPr>
          <w:bCs/>
          <w:kern w:val="32"/>
        </w:rPr>
        <w:t xml:space="preserve">return </w:t>
      </w:r>
      <w:r w:rsidR="00CF1096" w:rsidRPr="007D47D4">
        <w:rPr>
          <w:bCs/>
          <w:kern w:val="32"/>
        </w:rPr>
        <w:t>spread across industries</w:t>
      </w:r>
      <w:r w:rsidR="0017298A" w:rsidRPr="007D47D4">
        <w:rPr>
          <w:bCs/>
          <w:kern w:val="32"/>
        </w:rPr>
        <w:t>; t</w:t>
      </w:r>
      <w:r w:rsidR="00CF1096" w:rsidRPr="007D47D4">
        <w:rPr>
          <w:bCs/>
          <w:kern w:val="32"/>
        </w:rPr>
        <w:t xml:space="preserve">he range of the ROME measures is 7.03%, while the range of the ROE measures </w:t>
      </w:r>
      <w:r w:rsidR="00B349D6" w:rsidRPr="007D47D4">
        <w:rPr>
          <w:bCs/>
          <w:kern w:val="32"/>
        </w:rPr>
        <w:t>was</w:t>
      </w:r>
      <w:r w:rsidR="00CF1096" w:rsidRPr="007D47D4">
        <w:rPr>
          <w:bCs/>
          <w:kern w:val="32"/>
        </w:rPr>
        <w:t xml:space="preserve"> 24.41%.</w:t>
      </w:r>
      <w:r w:rsidRPr="007D47D4">
        <w:rPr>
          <w:bCs/>
          <w:kern w:val="32"/>
        </w:rPr>
        <w:t xml:space="preserve"> </w:t>
      </w:r>
    </w:p>
    <w:p w14:paraId="44982DA0" w14:textId="77777777" w:rsidR="00C66BC7" w:rsidRDefault="00C66BC7" w:rsidP="00FB05CD">
      <w:pPr>
        <w:jc w:val="both"/>
        <w:rPr>
          <w:bCs/>
          <w:kern w:val="32"/>
        </w:rPr>
      </w:pPr>
    </w:p>
    <w:p w14:paraId="1D1B3702" w14:textId="77777777" w:rsidR="00C66BC7" w:rsidRPr="007D47D4" w:rsidRDefault="00C66BC7" w:rsidP="00C11C22">
      <w:pPr>
        <w:keepNext/>
        <w:keepLines/>
        <w:jc w:val="center"/>
        <w:outlineLvl w:val="0"/>
        <w:rPr>
          <w:b/>
          <w:bCs/>
          <w:color w:val="000000"/>
        </w:rPr>
      </w:pPr>
      <w:r w:rsidRPr="007D47D4">
        <w:rPr>
          <w:b/>
          <w:bCs/>
          <w:color w:val="000000"/>
        </w:rPr>
        <w:t xml:space="preserve">Table 3: DuPont Analysis of </w:t>
      </w:r>
      <w:proofErr w:type="gramStart"/>
      <w:r w:rsidRPr="007D47D4">
        <w:rPr>
          <w:b/>
          <w:bCs/>
          <w:color w:val="000000"/>
        </w:rPr>
        <w:t>The</w:t>
      </w:r>
      <w:proofErr w:type="gramEnd"/>
      <w:r w:rsidRPr="007D47D4">
        <w:rPr>
          <w:b/>
          <w:bCs/>
          <w:color w:val="000000"/>
        </w:rPr>
        <w:t xml:space="preserve"> New ROME</w:t>
      </w:r>
    </w:p>
    <w:p w14:paraId="381A0013" w14:textId="77777777" w:rsidR="00C66BC7" w:rsidRPr="007D47D4" w:rsidRDefault="00C66BC7" w:rsidP="00C66BC7">
      <w:pPr>
        <w:keepNext/>
        <w:keepLines/>
        <w:outlineLvl w:val="0"/>
        <w:rPr>
          <w:bCs/>
          <w:i/>
          <w:kern w:val="32"/>
        </w:rPr>
      </w:pPr>
      <w:r w:rsidRPr="007D47D4">
        <w:rPr>
          <w:bCs/>
          <w:i/>
          <w:kern w:val="32"/>
        </w:rPr>
        <w:t xml:space="preserve">Return on Market Equity (ROME) is defined as the ratio of Net Income from Continuing Operations to Market Value of Common Equity, Profit Margin (PM) is the ratio of Net Income from Continuing Operations to Sales, Asset Turnover (TATO) is the ratio of Sales to Average Total Assets, Equity Multiplier (EM) is the ratio of Average Total Assets to Average Total Common Equity, and Book to Market (B/M) is the ratio of Average Total Common Equity and Market Value of Common Equity. Data is obtained for all industry sectors listed in </w:t>
      </w:r>
      <w:proofErr w:type="spellStart"/>
      <w:r w:rsidRPr="007D47D4">
        <w:rPr>
          <w:bCs/>
          <w:i/>
          <w:kern w:val="32"/>
        </w:rPr>
        <w:t>FactSet</w:t>
      </w:r>
      <w:proofErr w:type="spellEnd"/>
      <w:r w:rsidRPr="007D47D4">
        <w:rPr>
          <w:bCs/>
          <w:i/>
          <w:kern w:val="32"/>
        </w:rPr>
        <w:t>. All ratios are for North America for the year ended December 2015.</w:t>
      </w:r>
    </w:p>
    <w:p w14:paraId="5881A328" w14:textId="77777777" w:rsidR="00C66BC7" w:rsidRPr="007D47D4" w:rsidRDefault="00C66BC7" w:rsidP="00C66BC7">
      <w:pPr>
        <w:keepNext/>
        <w:keepLines/>
        <w:outlineLvl w:val="0"/>
        <w:rPr>
          <w:bCs/>
          <w:i/>
          <w:kern w:val="32"/>
        </w:rPr>
      </w:pPr>
    </w:p>
    <w:tbl>
      <w:tblPr>
        <w:tblW w:w="9447" w:type="dxa"/>
        <w:tblInd w:w="93" w:type="dxa"/>
        <w:tblLook w:val="04A0" w:firstRow="1" w:lastRow="0" w:firstColumn="1" w:lastColumn="0" w:noHBand="0" w:noVBand="1"/>
      </w:tblPr>
      <w:tblGrid>
        <w:gridCol w:w="3525"/>
        <w:gridCol w:w="723"/>
        <w:gridCol w:w="1209"/>
        <w:gridCol w:w="960"/>
        <w:gridCol w:w="1110"/>
        <w:gridCol w:w="960"/>
        <w:gridCol w:w="960"/>
      </w:tblGrid>
      <w:tr w:rsidR="00C66BC7" w:rsidRPr="007D47D4" w14:paraId="0ADCE606" w14:textId="77777777" w:rsidTr="0089053C">
        <w:trPr>
          <w:trHeight w:val="30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D0F99" w14:textId="77777777" w:rsidR="00C66BC7" w:rsidRPr="007D47D4" w:rsidRDefault="00C66BC7" w:rsidP="002C7140">
            <w:r w:rsidRPr="007D47D4">
              <w:t> </w:t>
            </w:r>
          </w:p>
        </w:tc>
        <w:tc>
          <w:tcPr>
            <w:tcW w:w="723" w:type="dxa"/>
            <w:tcBorders>
              <w:top w:val="single" w:sz="4" w:space="0" w:color="auto"/>
              <w:left w:val="nil"/>
              <w:bottom w:val="single" w:sz="4" w:space="0" w:color="auto"/>
              <w:right w:val="nil"/>
            </w:tcBorders>
            <w:shd w:val="clear" w:color="auto" w:fill="auto"/>
            <w:noWrap/>
            <w:vAlign w:val="bottom"/>
            <w:hideMark/>
          </w:tcPr>
          <w:p w14:paraId="0D2C20CD" w14:textId="77777777" w:rsidR="00C66BC7" w:rsidRPr="007D47D4" w:rsidRDefault="00C66BC7" w:rsidP="002C7140">
            <w:pPr>
              <w:jc w:val="center"/>
            </w:pPr>
            <w:r w:rsidRPr="007D47D4">
              <w:t>Rank</w:t>
            </w:r>
          </w:p>
        </w:tc>
        <w:tc>
          <w:tcPr>
            <w:tcW w:w="1209" w:type="dxa"/>
            <w:tcBorders>
              <w:top w:val="single" w:sz="4" w:space="0" w:color="auto"/>
              <w:left w:val="single" w:sz="4" w:space="0" w:color="auto"/>
              <w:bottom w:val="single" w:sz="4" w:space="0" w:color="auto"/>
              <w:right w:val="nil"/>
            </w:tcBorders>
            <w:shd w:val="clear" w:color="auto" w:fill="auto"/>
            <w:noWrap/>
            <w:vAlign w:val="bottom"/>
            <w:hideMark/>
          </w:tcPr>
          <w:p w14:paraId="70F2FF22" w14:textId="77777777" w:rsidR="00C66BC7" w:rsidRPr="007D47D4" w:rsidRDefault="00C66BC7" w:rsidP="002C7140">
            <w:pPr>
              <w:jc w:val="center"/>
              <w:rPr>
                <w:b/>
              </w:rPr>
            </w:pPr>
            <w:r w:rsidRPr="007D47D4">
              <w:rPr>
                <w:b/>
              </w:rPr>
              <w:t>ROME  =</w:t>
            </w:r>
          </w:p>
        </w:tc>
        <w:tc>
          <w:tcPr>
            <w:tcW w:w="960" w:type="dxa"/>
            <w:tcBorders>
              <w:top w:val="single" w:sz="4" w:space="0" w:color="auto"/>
              <w:left w:val="nil"/>
              <w:bottom w:val="single" w:sz="4" w:space="0" w:color="auto"/>
              <w:right w:val="nil"/>
            </w:tcBorders>
            <w:shd w:val="clear" w:color="auto" w:fill="auto"/>
            <w:noWrap/>
            <w:vAlign w:val="bottom"/>
            <w:hideMark/>
          </w:tcPr>
          <w:p w14:paraId="3532BF71" w14:textId="77777777" w:rsidR="00C66BC7" w:rsidRPr="007D47D4" w:rsidRDefault="00C66BC7" w:rsidP="002C7140">
            <w:pPr>
              <w:jc w:val="center"/>
            </w:pPr>
            <w:r w:rsidRPr="007D47D4">
              <w:t>PM  x</w:t>
            </w:r>
          </w:p>
        </w:tc>
        <w:tc>
          <w:tcPr>
            <w:tcW w:w="1110" w:type="dxa"/>
            <w:tcBorders>
              <w:top w:val="single" w:sz="4" w:space="0" w:color="auto"/>
              <w:left w:val="nil"/>
              <w:bottom w:val="single" w:sz="4" w:space="0" w:color="auto"/>
              <w:right w:val="nil"/>
            </w:tcBorders>
            <w:shd w:val="clear" w:color="auto" w:fill="auto"/>
            <w:noWrap/>
            <w:vAlign w:val="bottom"/>
            <w:hideMark/>
          </w:tcPr>
          <w:p w14:paraId="76E72598" w14:textId="77777777" w:rsidR="00C66BC7" w:rsidRPr="007D47D4" w:rsidRDefault="00C66BC7" w:rsidP="002C7140">
            <w:pPr>
              <w:jc w:val="center"/>
            </w:pPr>
            <w:r w:rsidRPr="007D47D4">
              <w:t>TATO  x</w:t>
            </w:r>
          </w:p>
        </w:tc>
        <w:tc>
          <w:tcPr>
            <w:tcW w:w="960" w:type="dxa"/>
            <w:tcBorders>
              <w:top w:val="single" w:sz="4" w:space="0" w:color="auto"/>
              <w:left w:val="nil"/>
              <w:bottom w:val="single" w:sz="4" w:space="0" w:color="auto"/>
              <w:right w:val="nil"/>
            </w:tcBorders>
            <w:shd w:val="clear" w:color="auto" w:fill="auto"/>
            <w:noWrap/>
            <w:vAlign w:val="bottom"/>
            <w:hideMark/>
          </w:tcPr>
          <w:p w14:paraId="1C9A265E" w14:textId="77777777" w:rsidR="00C66BC7" w:rsidRPr="007D47D4" w:rsidRDefault="00C66BC7" w:rsidP="002C7140">
            <w:pPr>
              <w:jc w:val="center"/>
            </w:pPr>
            <w:r w:rsidRPr="007D47D4">
              <w:t>EM  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BE9812" w14:textId="77777777" w:rsidR="00C66BC7" w:rsidRPr="007D47D4" w:rsidRDefault="00C66BC7" w:rsidP="002C7140">
            <w:pPr>
              <w:jc w:val="center"/>
            </w:pPr>
            <w:r w:rsidRPr="007D47D4">
              <w:t>B/M</w:t>
            </w:r>
          </w:p>
        </w:tc>
      </w:tr>
      <w:tr w:rsidR="00C66BC7" w:rsidRPr="007D47D4" w14:paraId="483C28A7"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577134D7" w14:textId="77777777" w:rsidR="00C66BC7" w:rsidRPr="007D47D4" w:rsidRDefault="00C66BC7" w:rsidP="002C7140">
            <w:r w:rsidRPr="007D47D4">
              <w:t>Transportation</w:t>
            </w:r>
          </w:p>
        </w:tc>
        <w:tc>
          <w:tcPr>
            <w:tcW w:w="723" w:type="dxa"/>
            <w:tcBorders>
              <w:top w:val="nil"/>
              <w:left w:val="nil"/>
              <w:bottom w:val="nil"/>
              <w:right w:val="nil"/>
            </w:tcBorders>
            <w:shd w:val="clear" w:color="auto" w:fill="auto"/>
            <w:noWrap/>
            <w:vAlign w:val="bottom"/>
            <w:hideMark/>
          </w:tcPr>
          <w:p w14:paraId="2D0512F1" w14:textId="77777777" w:rsidR="00C66BC7" w:rsidRPr="007D47D4" w:rsidRDefault="00C66BC7" w:rsidP="002C7140">
            <w:pPr>
              <w:jc w:val="center"/>
            </w:pPr>
            <w:r w:rsidRPr="007D47D4">
              <w:t>1</w:t>
            </w:r>
          </w:p>
        </w:tc>
        <w:tc>
          <w:tcPr>
            <w:tcW w:w="1209" w:type="dxa"/>
            <w:tcBorders>
              <w:top w:val="nil"/>
              <w:left w:val="single" w:sz="4" w:space="0" w:color="auto"/>
              <w:bottom w:val="nil"/>
              <w:right w:val="nil"/>
            </w:tcBorders>
            <w:shd w:val="clear" w:color="auto" w:fill="auto"/>
            <w:noWrap/>
            <w:vAlign w:val="bottom"/>
            <w:hideMark/>
          </w:tcPr>
          <w:p w14:paraId="36B4848A" w14:textId="77777777" w:rsidR="00C66BC7" w:rsidRPr="007D47D4" w:rsidRDefault="00C66BC7" w:rsidP="002C7140">
            <w:pPr>
              <w:jc w:val="center"/>
              <w:rPr>
                <w:b/>
              </w:rPr>
            </w:pPr>
            <w:r w:rsidRPr="007D47D4">
              <w:rPr>
                <w:b/>
              </w:rPr>
              <w:t>8.46%</w:t>
            </w:r>
          </w:p>
        </w:tc>
        <w:tc>
          <w:tcPr>
            <w:tcW w:w="960" w:type="dxa"/>
            <w:tcBorders>
              <w:top w:val="nil"/>
              <w:left w:val="nil"/>
              <w:bottom w:val="nil"/>
              <w:right w:val="nil"/>
            </w:tcBorders>
            <w:shd w:val="clear" w:color="auto" w:fill="auto"/>
            <w:noWrap/>
            <w:vAlign w:val="bottom"/>
            <w:hideMark/>
          </w:tcPr>
          <w:p w14:paraId="464D6591" w14:textId="77777777" w:rsidR="00C66BC7" w:rsidRPr="007D47D4" w:rsidRDefault="00C66BC7" w:rsidP="002C7140">
            <w:pPr>
              <w:jc w:val="center"/>
            </w:pPr>
            <w:r w:rsidRPr="007D47D4">
              <w:t>10.28%</w:t>
            </w:r>
          </w:p>
        </w:tc>
        <w:tc>
          <w:tcPr>
            <w:tcW w:w="1110" w:type="dxa"/>
            <w:tcBorders>
              <w:top w:val="nil"/>
              <w:left w:val="nil"/>
              <w:bottom w:val="nil"/>
              <w:right w:val="nil"/>
            </w:tcBorders>
            <w:shd w:val="clear" w:color="auto" w:fill="auto"/>
            <w:noWrap/>
            <w:vAlign w:val="bottom"/>
            <w:hideMark/>
          </w:tcPr>
          <w:p w14:paraId="223E57CD" w14:textId="77777777" w:rsidR="00C66BC7" w:rsidRPr="007D47D4" w:rsidRDefault="00C66BC7" w:rsidP="002C7140">
            <w:pPr>
              <w:jc w:val="center"/>
            </w:pPr>
            <w:r w:rsidRPr="007D47D4">
              <w:t>0.74</w:t>
            </w:r>
          </w:p>
        </w:tc>
        <w:tc>
          <w:tcPr>
            <w:tcW w:w="960" w:type="dxa"/>
            <w:tcBorders>
              <w:top w:val="nil"/>
              <w:left w:val="nil"/>
              <w:bottom w:val="nil"/>
              <w:right w:val="nil"/>
            </w:tcBorders>
            <w:shd w:val="clear" w:color="auto" w:fill="auto"/>
            <w:noWrap/>
            <w:vAlign w:val="bottom"/>
            <w:hideMark/>
          </w:tcPr>
          <w:p w14:paraId="4CBB0B12" w14:textId="77777777" w:rsidR="00C66BC7" w:rsidRPr="007D47D4" w:rsidRDefault="00C66BC7" w:rsidP="002C7140">
            <w:pPr>
              <w:jc w:val="center"/>
            </w:pPr>
            <w:r w:rsidRPr="007D47D4">
              <w:t>3.415</w:t>
            </w:r>
          </w:p>
        </w:tc>
        <w:tc>
          <w:tcPr>
            <w:tcW w:w="960" w:type="dxa"/>
            <w:tcBorders>
              <w:top w:val="nil"/>
              <w:left w:val="nil"/>
              <w:bottom w:val="nil"/>
              <w:right w:val="single" w:sz="4" w:space="0" w:color="auto"/>
            </w:tcBorders>
            <w:shd w:val="clear" w:color="auto" w:fill="auto"/>
            <w:noWrap/>
            <w:vAlign w:val="bottom"/>
            <w:hideMark/>
          </w:tcPr>
          <w:p w14:paraId="3EA482D6" w14:textId="77777777" w:rsidR="00C66BC7" w:rsidRPr="007D47D4" w:rsidRDefault="00C66BC7" w:rsidP="002C7140">
            <w:pPr>
              <w:jc w:val="center"/>
            </w:pPr>
            <w:r w:rsidRPr="007D47D4">
              <w:t>0.327</w:t>
            </w:r>
          </w:p>
        </w:tc>
      </w:tr>
      <w:tr w:rsidR="00C66BC7" w:rsidRPr="007D47D4" w14:paraId="1E41ECD8"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46F07180" w14:textId="77777777" w:rsidR="00C66BC7" w:rsidRPr="007D47D4" w:rsidRDefault="00C66BC7" w:rsidP="002C7140">
            <w:r w:rsidRPr="007D47D4">
              <w:t>Consumer Durables</w:t>
            </w:r>
          </w:p>
        </w:tc>
        <w:tc>
          <w:tcPr>
            <w:tcW w:w="723" w:type="dxa"/>
            <w:tcBorders>
              <w:top w:val="nil"/>
              <w:left w:val="nil"/>
              <w:bottom w:val="nil"/>
              <w:right w:val="nil"/>
            </w:tcBorders>
            <w:shd w:val="clear" w:color="auto" w:fill="auto"/>
            <w:noWrap/>
            <w:vAlign w:val="bottom"/>
            <w:hideMark/>
          </w:tcPr>
          <w:p w14:paraId="113F0562" w14:textId="77777777" w:rsidR="00C66BC7" w:rsidRPr="007D47D4" w:rsidRDefault="00C66BC7" w:rsidP="002C7140">
            <w:pPr>
              <w:jc w:val="center"/>
            </w:pPr>
            <w:r w:rsidRPr="007D47D4">
              <w:t>2</w:t>
            </w:r>
          </w:p>
        </w:tc>
        <w:tc>
          <w:tcPr>
            <w:tcW w:w="1209" w:type="dxa"/>
            <w:tcBorders>
              <w:top w:val="nil"/>
              <w:left w:val="single" w:sz="4" w:space="0" w:color="auto"/>
              <w:bottom w:val="nil"/>
              <w:right w:val="nil"/>
            </w:tcBorders>
            <w:shd w:val="clear" w:color="auto" w:fill="auto"/>
            <w:noWrap/>
            <w:vAlign w:val="bottom"/>
            <w:hideMark/>
          </w:tcPr>
          <w:p w14:paraId="39BE37D3" w14:textId="77777777" w:rsidR="00C66BC7" w:rsidRPr="007D47D4" w:rsidRDefault="00C66BC7" w:rsidP="002C7140">
            <w:pPr>
              <w:jc w:val="center"/>
              <w:rPr>
                <w:b/>
              </w:rPr>
            </w:pPr>
            <w:r w:rsidRPr="007D47D4">
              <w:rPr>
                <w:b/>
              </w:rPr>
              <w:t>6.82%</w:t>
            </w:r>
          </w:p>
        </w:tc>
        <w:tc>
          <w:tcPr>
            <w:tcW w:w="960" w:type="dxa"/>
            <w:tcBorders>
              <w:top w:val="nil"/>
              <w:left w:val="nil"/>
              <w:bottom w:val="nil"/>
              <w:right w:val="nil"/>
            </w:tcBorders>
            <w:shd w:val="clear" w:color="auto" w:fill="auto"/>
            <w:noWrap/>
            <w:vAlign w:val="bottom"/>
            <w:hideMark/>
          </w:tcPr>
          <w:p w14:paraId="51706E78" w14:textId="77777777" w:rsidR="00C66BC7" w:rsidRPr="007D47D4" w:rsidRDefault="00C66BC7" w:rsidP="002C7140">
            <w:pPr>
              <w:jc w:val="center"/>
            </w:pPr>
            <w:r w:rsidRPr="007D47D4">
              <w:t>5.58%</w:t>
            </w:r>
          </w:p>
        </w:tc>
        <w:tc>
          <w:tcPr>
            <w:tcW w:w="1110" w:type="dxa"/>
            <w:tcBorders>
              <w:top w:val="nil"/>
              <w:left w:val="nil"/>
              <w:bottom w:val="nil"/>
              <w:right w:val="nil"/>
            </w:tcBorders>
            <w:shd w:val="clear" w:color="auto" w:fill="auto"/>
            <w:noWrap/>
            <w:vAlign w:val="bottom"/>
            <w:hideMark/>
          </w:tcPr>
          <w:p w14:paraId="614AE31C" w14:textId="77777777" w:rsidR="00C66BC7" w:rsidRPr="007D47D4" w:rsidRDefault="00C66BC7" w:rsidP="002C7140">
            <w:pPr>
              <w:jc w:val="center"/>
            </w:pPr>
            <w:r w:rsidRPr="007D47D4">
              <w:t>0.75</w:t>
            </w:r>
          </w:p>
        </w:tc>
        <w:tc>
          <w:tcPr>
            <w:tcW w:w="960" w:type="dxa"/>
            <w:tcBorders>
              <w:top w:val="nil"/>
              <w:left w:val="nil"/>
              <w:bottom w:val="nil"/>
              <w:right w:val="nil"/>
            </w:tcBorders>
            <w:shd w:val="clear" w:color="auto" w:fill="auto"/>
            <w:noWrap/>
            <w:vAlign w:val="bottom"/>
            <w:hideMark/>
          </w:tcPr>
          <w:p w14:paraId="10F78A22" w14:textId="77777777" w:rsidR="00C66BC7" w:rsidRPr="007D47D4" w:rsidRDefault="00C66BC7" w:rsidP="002C7140">
            <w:pPr>
              <w:jc w:val="center"/>
            </w:pPr>
            <w:r w:rsidRPr="007D47D4">
              <w:t>4.271</w:t>
            </w:r>
          </w:p>
        </w:tc>
        <w:tc>
          <w:tcPr>
            <w:tcW w:w="960" w:type="dxa"/>
            <w:tcBorders>
              <w:top w:val="nil"/>
              <w:left w:val="nil"/>
              <w:bottom w:val="nil"/>
              <w:right w:val="single" w:sz="4" w:space="0" w:color="auto"/>
            </w:tcBorders>
            <w:shd w:val="clear" w:color="auto" w:fill="auto"/>
            <w:noWrap/>
            <w:vAlign w:val="bottom"/>
            <w:hideMark/>
          </w:tcPr>
          <w:p w14:paraId="037AEF7B" w14:textId="77777777" w:rsidR="00C66BC7" w:rsidRPr="007D47D4" w:rsidRDefault="00C66BC7" w:rsidP="002C7140">
            <w:pPr>
              <w:jc w:val="center"/>
            </w:pPr>
            <w:r w:rsidRPr="007D47D4">
              <w:t>0.383</w:t>
            </w:r>
          </w:p>
        </w:tc>
      </w:tr>
      <w:tr w:rsidR="00C66BC7" w:rsidRPr="007D47D4" w14:paraId="3E59E7A7"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6227E5EB" w14:textId="77777777" w:rsidR="00C66BC7" w:rsidRPr="007D47D4" w:rsidRDefault="00C66BC7" w:rsidP="002C7140">
            <w:r w:rsidRPr="007D47D4">
              <w:t>Finance</w:t>
            </w:r>
          </w:p>
        </w:tc>
        <w:tc>
          <w:tcPr>
            <w:tcW w:w="723" w:type="dxa"/>
            <w:tcBorders>
              <w:top w:val="nil"/>
              <w:left w:val="nil"/>
              <w:bottom w:val="nil"/>
              <w:right w:val="nil"/>
            </w:tcBorders>
            <w:shd w:val="clear" w:color="auto" w:fill="auto"/>
            <w:noWrap/>
            <w:vAlign w:val="bottom"/>
            <w:hideMark/>
          </w:tcPr>
          <w:p w14:paraId="2FAC6534" w14:textId="77777777" w:rsidR="00C66BC7" w:rsidRPr="007D47D4" w:rsidRDefault="00C66BC7" w:rsidP="002C7140">
            <w:pPr>
              <w:jc w:val="center"/>
            </w:pPr>
            <w:r w:rsidRPr="007D47D4">
              <w:t>3</w:t>
            </w:r>
          </w:p>
        </w:tc>
        <w:tc>
          <w:tcPr>
            <w:tcW w:w="1209" w:type="dxa"/>
            <w:tcBorders>
              <w:top w:val="nil"/>
              <w:left w:val="single" w:sz="4" w:space="0" w:color="auto"/>
              <w:bottom w:val="nil"/>
              <w:right w:val="nil"/>
            </w:tcBorders>
            <w:shd w:val="clear" w:color="auto" w:fill="auto"/>
            <w:noWrap/>
            <w:vAlign w:val="bottom"/>
            <w:hideMark/>
          </w:tcPr>
          <w:p w14:paraId="03B346E6" w14:textId="77777777" w:rsidR="00C66BC7" w:rsidRPr="007D47D4" w:rsidRDefault="00C66BC7" w:rsidP="002C7140">
            <w:pPr>
              <w:jc w:val="center"/>
              <w:rPr>
                <w:b/>
              </w:rPr>
            </w:pPr>
            <w:r w:rsidRPr="007D47D4">
              <w:rPr>
                <w:b/>
              </w:rPr>
              <w:t>6.65%</w:t>
            </w:r>
          </w:p>
        </w:tc>
        <w:tc>
          <w:tcPr>
            <w:tcW w:w="960" w:type="dxa"/>
            <w:tcBorders>
              <w:top w:val="nil"/>
              <w:left w:val="nil"/>
              <w:bottom w:val="nil"/>
              <w:right w:val="nil"/>
            </w:tcBorders>
            <w:shd w:val="clear" w:color="auto" w:fill="auto"/>
            <w:noWrap/>
            <w:vAlign w:val="bottom"/>
            <w:hideMark/>
          </w:tcPr>
          <w:p w14:paraId="0FB39237" w14:textId="77777777" w:rsidR="00C66BC7" w:rsidRPr="007D47D4" w:rsidRDefault="00C66BC7" w:rsidP="002C7140">
            <w:pPr>
              <w:jc w:val="center"/>
            </w:pPr>
            <w:r w:rsidRPr="007D47D4">
              <w:t>13.51%</w:t>
            </w:r>
          </w:p>
        </w:tc>
        <w:tc>
          <w:tcPr>
            <w:tcW w:w="1110" w:type="dxa"/>
            <w:tcBorders>
              <w:top w:val="nil"/>
              <w:left w:val="nil"/>
              <w:bottom w:val="nil"/>
              <w:right w:val="nil"/>
            </w:tcBorders>
            <w:shd w:val="clear" w:color="auto" w:fill="auto"/>
            <w:noWrap/>
            <w:vAlign w:val="bottom"/>
            <w:hideMark/>
          </w:tcPr>
          <w:p w14:paraId="76FD0558" w14:textId="77777777" w:rsidR="00C66BC7" w:rsidRPr="007D47D4" w:rsidRDefault="00C66BC7" w:rsidP="002C7140">
            <w:pPr>
              <w:jc w:val="center"/>
            </w:pPr>
            <w:r w:rsidRPr="007D47D4">
              <w:t>0.07</w:t>
            </w:r>
          </w:p>
        </w:tc>
        <w:tc>
          <w:tcPr>
            <w:tcW w:w="960" w:type="dxa"/>
            <w:tcBorders>
              <w:top w:val="nil"/>
              <w:left w:val="nil"/>
              <w:bottom w:val="nil"/>
              <w:right w:val="nil"/>
            </w:tcBorders>
            <w:shd w:val="clear" w:color="auto" w:fill="auto"/>
            <w:noWrap/>
            <w:vAlign w:val="bottom"/>
            <w:hideMark/>
          </w:tcPr>
          <w:p w14:paraId="63C2F81A" w14:textId="77777777" w:rsidR="00C66BC7" w:rsidRPr="007D47D4" w:rsidRDefault="00C66BC7" w:rsidP="002C7140">
            <w:pPr>
              <w:jc w:val="center"/>
            </w:pPr>
            <w:r w:rsidRPr="007D47D4">
              <w:t>9.628</w:t>
            </w:r>
          </w:p>
        </w:tc>
        <w:tc>
          <w:tcPr>
            <w:tcW w:w="960" w:type="dxa"/>
            <w:tcBorders>
              <w:top w:val="nil"/>
              <w:left w:val="nil"/>
              <w:bottom w:val="nil"/>
              <w:right w:val="single" w:sz="4" w:space="0" w:color="auto"/>
            </w:tcBorders>
            <w:shd w:val="clear" w:color="auto" w:fill="auto"/>
            <w:noWrap/>
            <w:vAlign w:val="bottom"/>
            <w:hideMark/>
          </w:tcPr>
          <w:p w14:paraId="49B4F64E" w14:textId="77777777" w:rsidR="00C66BC7" w:rsidRPr="007D47D4" w:rsidRDefault="00C66BC7" w:rsidP="002C7140">
            <w:pPr>
              <w:jc w:val="center"/>
            </w:pPr>
            <w:r w:rsidRPr="007D47D4">
              <w:t>0.735</w:t>
            </w:r>
          </w:p>
        </w:tc>
      </w:tr>
      <w:tr w:rsidR="00C66BC7" w:rsidRPr="007D47D4" w14:paraId="00967838"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1A18B8ED" w14:textId="77777777" w:rsidR="00C66BC7" w:rsidRPr="007D47D4" w:rsidRDefault="00C66BC7" w:rsidP="002C7140">
            <w:r w:rsidRPr="007D47D4">
              <w:t>Electronic Technology</w:t>
            </w:r>
          </w:p>
        </w:tc>
        <w:tc>
          <w:tcPr>
            <w:tcW w:w="723" w:type="dxa"/>
            <w:tcBorders>
              <w:top w:val="nil"/>
              <w:left w:val="nil"/>
              <w:bottom w:val="nil"/>
              <w:right w:val="nil"/>
            </w:tcBorders>
            <w:shd w:val="clear" w:color="auto" w:fill="auto"/>
            <w:noWrap/>
            <w:vAlign w:val="bottom"/>
            <w:hideMark/>
          </w:tcPr>
          <w:p w14:paraId="417B2BF9" w14:textId="77777777" w:rsidR="00C66BC7" w:rsidRPr="007D47D4" w:rsidRDefault="00C66BC7" w:rsidP="002C7140">
            <w:pPr>
              <w:jc w:val="center"/>
            </w:pPr>
            <w:r w:rsidRPr="007D47D4">
              <w:t>4</w:t>
            </w:r>
          </w:p>
        </w:tc>
        <w:tc>
          <w:tcPr>
            <w:tcW w:w="1209" w:type="dxa"/>
            <w:tcBorders>
              <w:top w:val="nil"/>
              <w:left w:val="single" w:sz="4" w:space="0" w:color="auto"/>
              <w:bottom w:val="nil"/>
              <w:right w:val="nil"/>
            </w:tcBorders>
            <w:shd w:val="clear" w:color="auto" w:fill="auto"/>
            <w:noWrap/>
            <w:vAlign w:val="bottom"/>
            <w:hideMark/>
          </w:tcPr>
          <w:p w14:paraId="2D52BB10" w14:textId="77777777" w:rsidR="00C66BC7" w:rsidRPr="007D47D4" w:rsidRDefault="00C66BC7" w:rsidP="002C7140">
            <w:pPr>
              <w:jc w:val="center"/>
              <w:rPr>
                <w:b/>
              </w:rPr>
            </w:pPr>
            <w:r w:rsidRPr="007D47D4">
              <w:rPr>
                <w:b/>
              </w:rPr>
              <w:t>6.59%</w:t>
            </w:r>
          </w:p>
        </w:tc>
        <w:tc>
          <w:tcPr>
            <w:tcW w:w="960" w:type="dxa"/>
            <w:tcBorders>
              <w:top w:val="nil"/>
              <w:left w:val="nil"/>
              <w:bottom w:val="nil"/>
              <w:right w:val="nil"/>
            </w:tcBorders>
            <w:shd w:val="clear" w:color="auto" w:fill="auto"/>
            <w:noWrap/>
            <w:vAlign w:val="bottom"/>
            <w:hideMark/>
          </w:tcPr>
          <w:p w14:paraId="59DF12DA" w14:textId="77777777" w:rsidR="00C66BC7" w:rsidRPr="007D47D4" w:rsidRDefault="00C66BC7" w:rsidP="002C7140">
            <w:pPr>
              <w:jc w:val="center"/>
            </w:pPr>
            <w:r w:rsidRPr="007D47D4">
              <w:t>11.77%</w:t>
            </w:r>
          </w:p>
        </w:tc>
        <w:tc>
          <w:tcPr>
            <w:tcW w:w="1110" w:type="dxa"/>
            <w:tcBorders>
              <w:top w:val="nil"/>
              <w:left w:val="nil"/>
              <w:bottom w:val="nil"/>
              <w:right w:val="nil"/>
            </w:tcBorders>
            <w:shd w:val="clear" w:color="auto" w:fill="auto"/>
            <w:noWrap/>
            <w:vAlign w:val="bottom"/>
            <w:hideMark/>
          </w:tcPr>
          <w:p w14:paraId="5DE31E51" w14:textId="77777777" w:rsidR="00C66BC7" w:rsidRPr="007D47D4" w:rsidRDefault="00C66BC7" w:rsidP="002C7140">
            <w:pPr>
              <w:jc w:val="center"/>
            </w:pPr>
            <w:r w:rsidRPr="007D47D4">
              <w:t>0.73</w:t>
            </w:r>
          </w:p>
        </w:tc>
        <w:tc>
          <w:tcPr>
            <w:tcW w:w="960" w:type="dxa"/>
            <w:tcBorders>
              <w:top w:val="nil"/>
              <w:left w:val="nil"/>
              <w:bottom w:val="nil"/>
              <w:right w:val="nil"/>
            </w:tcBorders>
            <w:shd w:val="clear" w:color="auto" w:fill="auto"/>
            <w:noWrap/>
            <w:vAlign w:val="bottom"/>
            <w:hideMark/>
          </w:tcPr>
          <w:p w14:paraId="6D0F038E" w14:textId="77777777" w:rsidR="00C66BC7" w:rsidRPr="007D47D4" w:rsidRDefault="00C66BC7" w:rsidP="002C7140">
            <w:pPr>
              <w:jc w:val="center"/>
            </w:pPr>
            <w:r w:rsidRPr="007D47D4">
              <w:t>2.434</w:t>
            </w:r>
          </w:p>
        </w:tc>
        <w:tc>
          <w:tcPr>
            <w:tcW w:w="960" w:type="dxa"/>
            <w:tcBorders>
              <w:top w:val="nil"/>
              <w:left w:val="nil"/>
              <w:bottom w:val="nil"/>
              <w:right w:val="single" w:sz="4" w:space="0" w:color="auto"/>
            </w:tcBorders>
            <w:shd w:val="clear" w:color="auto" w:fill="auto"/>
            <w:noWrap/>
            <w:vAlign w:val="bottom"/>
            <w:hideMark/>
          </w:tcPr>
          <w:p w14:paraId="740861A2" w14:textId="77777777" w:rsidR="00C66BC7" w:rsidRPr="007D47D4" w:rsidRDefault="00C66BC7" w:rsidP="002C7140">
            <w:pPr>
              <w:jc w:val="center"/>
            </w:pPr>
            <w:r w:rsidRPr="007D47D4">
              <w:t>0.314</w:t>
            </w:r>
          </w:p>
        </w:tc>
      </w:tr>
      <w:tr w:rsidR="00C66BC7" w:rsidRPr="007D47D4" w14:paraId="41F52A3A"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278EB345" w14:textId="77777777" w:rsidR="00C66BC7" w:rsidRPr="007D47D4" w:rsidRDefault="00C66BC7" w:rsidP="002C7140">
            <w:r w:rsidRPr="007D47D4">
              <w:t>Process Industries</w:t>
            </w:r>
          </w:p>
        </w:tc>
        <w:tc>
          <w:tcPr>
            <w:tcW w:w="723" w:type="dxa"/>
            <w:tcBorders>
              <w:top w:val="nil"/>
              <w:left w:val="nil"/>
              <w:bottom w:val="nil"/>
              <w:right w:val="nil"/>
            </w:tcBorders>
            <w:shd w:val="clear" w:color="auto" w:fill="auto"/>
            <w:noWrap/>
            <w:vAlign w:val="bottom"/>
            <w:hideMark/>
          </w:tcPr>
          <w:p w14:paraId="28801704" w14:textId="77777777" w:rsidR="00C66BC7" w:rsidRPr="007D47D4" w:rsidRDefault="00C66BC7" w:rsidP="002C7140">
            <w:pPr>
              <w:jc w:val="center"/>
            </w:pPr>
            <w:r w:rsidRPr="007D47D4">
              <w:t>5</w:t>
            </w:r>
          </w:p>
        </w:tc>
        <w:tc>
          <w:tcPr>
            <w:tcW w:w="1209" w:type="dxa"/>
            <w:tcBorders>
              <w:top w:val="nil"/>
              <w:left w:val="single" w:sz="4" w:space="0" w:color="auto"/>
              <w:bottom w:val="nil"/>
              <w:right w:val="nil"/>
            </w:tcBorders>
            <w:shd w:val="clear" w:color="auto" w:fill="auto"/>
            <w:noWrap/>
            <w:vAlign w:val="bottom"/>
            <w:hideMark/>
          </w:tcPr>
          <w:p w14:paraId="54FFB53A" w14:textId="77777777" w:rsidR="00C66BC7" w:rsidRPr="007D47D4" w:rsidRDefault="00C66BC7" w:rsidP="002C7140">
            <w:pPr>
              <w:jc w:val="center"/>
              <w:rPr>
                <w:b/>
              </w:rPr>
            </w:pPr>
            <w:r w:rsidRPr="007D47D4">
              <w:rPr>
                <w:b/>
              </w:rPr>
              <w:t>6.27%</w:t>
            </w:r>
          </w:p>
        </w:tc>
        <w:tc>
          <w:tcPr>
            <w:tcW w:w="960" w:type="dxa"/>
            <w:tcBorders>
              <w:top w:val="nil"/>
              <w:left w:val="nil"/>
              <w:bottom w:val="nil"/>
              <w:right w:val="nil"/>
            </w:tcBorders>
            <w:shd w:val="clear" w:color="auto" w:fill="auto"/>
            <w:noWrap/>
            <w:vAlign w:val="bottom"/>
            <w:hideMark/>
          </w:tcPr>
          <w:p w14:paraId="70D8602D" w14:textId="77777777" w:rsidR="00C66BC7" w:rsidRPr="007D47D4" w:rsidRDefault="00C66BC7" w:rsidP="002C7140">
            <w:pPr>
              <w:jc w:val="center"/>
            </w:pPr>
            <w:r w:rsidRPr="007D47D4">
              <w:t>6.91%</w:t>
            </w:r>
          </w:p>
        </w:tc>
        <w:tc>
          <w:tcPr>
            <w:tcW w:w="1110" w:type="dxa"/>
            <w:tcBorders>
              <w:top w:val="nil"/>
              <w:left w:val="nil"/>
              <w:bottom w:val="nil"/>
              <w:right w:val="nil"/>
            </w:tcBorders>
            <w:shd w:val="clear" w:color="auto" w:fill="auto"/>
            <w:noWrap/>
            <w:vAlign w:val="bottom"/>
            <w:hideMark/>
          </w:tcPr>
          <w:p w14:paraId="37EE885F" w14:textId="77777777" w:rsidR="00C66BC7" w:rsidRPr="007D47D4" w:rsidRDefault="00C66BC7" w:rsidP="002C7140">
            <w:pPr>
              <w:jc w:val="center"/>
            </w:pPr>
            <w:r w:rsidRPr="007D47D4">
              <w:t>0.89</w:t>
            </w:r>
          </w:p>
        </w:tc>
        <w:tc>
          <w:tcPr>
            <w:tcW w:w="960" w:type="dxa"/>
            <w:tcBorders>
              <w:top w:val="nil"/>
              <w:left w:val="nil"/>
              <w:bottom w:val="nil"/>
              <w:right w:val="nil"/>
            </w:tcBorders>
            <w:shd w:val="clear" w:color="auto" w:fill="auto"/>
            <w:noWrap/>
            <w:vAlign w:val="bottom"/>
            <w:hideMark/>
          </w:tcPr>
          <w:p w14:paraId="54F27F40" w14:textId="77777777" w:rsidR="00C66BC7" w:rsidRPr="007D47D4" w:rsidRDefault="00C66BC7" w:rsidP="002C7140">
            <w:pPr>
              <w:jc w:val="center"/>
            </w:pPr>
            <w:r w:rsidRPr="007D47D4">
              <w:t>3.082</w:t>
            </w:r>
          </w:p>
        </w:tc>
        <w:tc>
          <w:tcPr>
            <w:tcW w:w="960" w:type="dxa"/>
            <w:tcBorders>
              <w:top w:val="nil"/>
              <w:left w:val="nil"/>
              <w:bottom w:val="nil"/>
              <w:right w:val="single" w:sz="4" w:space="0" w:color="auto"/>
            </w:tcBorders>
            <w:shd w:val="clear" w:color="auto" w:fill="auto"/>
            <w:noWrap/>
            <w:vAlign w:val="bottom"/>
            <w:hideMark/>
          </w:tcPr>
          <w:p w14:paraId="760892D0" w14:textId="77777777" w:rsidR="00C66BC7" w:rsidRPr="007D47D4" w:rsidRDefault="00C66BC7" w:rsidP="002C7140">
            <w:pPr>
              <w:jc w:val="center"/>
            </w:pPr>
            <w:r w:rsidRPr="007D47D4">
              <w:t>0.330</w:t>
            </w:r>
          </w:p>
        </w:tc>
      </w:tr>
      <w:tr w:rsidR="00C66BC7" w:rsidRPr="007D47D4" w14:paraId="5EF064BF"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7561C5DD" w14:textId="77777777" w:rsidR="00C66BC7" w:rsidRPr="007D47D4" w:rsidRDefault="00C66BC7" w:rsidP="002C7140">
            <w:r w:rsidRPr="007D47D4">
              <w:t>Utilities</w:t>
            </w:r>
          </w:p>
        </w:tc>
        <w:tc>
          <w:tcPr>
            <w:tcW w:w="723" w:type="dxa"/>
            <w:tcBorders>
              <w:top w:val="nil"/>
              <w:left w:val="nil"/>
              <w:bottom w:val="nil"/>
              <w:right w:val="nil"/>
            </w:tcBorders>
            <w:shd w:val="clear" w:color="auto" w:fill="auto"/>
            <w:noWrap/>
            <w:vAlign w:val="bottom"/>
            <w:hideMark/>
          </w:tcPr>
          <w:p w14:paraId="42F0A479" w14:textId="77777777" w:rsidR="00C66BC7" w:rsidRPr="007D47D4" w:rsidRDefault="00C66BC7" w:rsidP="002C7140">
            <w:pPr>
              <w:jc w:val="center"/>
            </w:pPr>
            <w:r w:rsidRPr="007D47D4">
              <w:t>6</w:t>
            </w:r>
          </w:p>
        </w:tc>
        <w:tc>
          <w:tcPr>
            <w:tcW w:w="1209" w:type="dxa"/>
            <w:tcBorders>
              <w:top w:val="nil"/>
              <w:left w:val="single" w:sz="4" w:space="0" w:color="auto"/>
              <w:bottom w:val="nil"/>
              <w:right w:val="nil"/>
            </w:tcBorders>
            <w:shd w:val="clear" w:color="auto" w:fill="auto"/>
            <w:noWrap/>
            <w:vAlign w:val="bottom"/>
            <w:hideMark/>
          </w:tcPr>
          <w:p w14:paraId="24E29318" w14:textId="77777777" w:rsidR="00C66BC7" w:rsidRPr="007D47D4" w:rsidRDefault="00C66BC7" w:rsidP="002C7140">
            <w:pPr>
              <w:jc w:val="center"/>
              <w:rPr>
                <w:b/>
              </w:rPr>
            </w:pPr>
            <w:r w:rsidRPr="007D47D4">
              <w:rPr>
                <w:b/>
              </w:rPr>
              <w:t>5.55%</w:t>
            </w:r>
          </w:p>
        </w:tc>
        <w:tc>
          <w:tcPr>
            <w:tcW w:w="960" w:type="dxa"/>
            <w:tcBorders>
              <w:top w:val="nil"/>
              <w:left w:val="nil"/>
              <w:bottom w:val="nil"/>
              <w:right w:val="nil"/>
            </w:tcBorders>
            <w:shd w:val="clear" w:color="auto" w:fill="auto"/>
            <w:noWrap/>
            <w:vAlign w:val="bottom"/>
            <w:hideMark/>
          </w:tcPr>
          <w:p w14:paraId="2331D118" w14:textId="77777777" w:rsidR="00C66BC7" w:rsidRPr="007D47D4" w:rsidRDefault="00C66BC7" w:rsidP="002C7140">
            <w:pPr>
              <w:jc w:val="center"/>
            </w:pPr>
            <w:r w:rsidRPr="007D47D4">
              <w:t>9.27%</w:t>
            </w:r>
          </w:p>
        </w:tc>
        <w:tc>
          <w:tcPr>
            <w:tcW w:w="1110" w:type="dxa"/>
            <w:tcBorders>
              <w:top w:val="nil"/>
              <w:left w:val="nil"/>
              <w:bottom w:val="nil"/>
              <w:right w:val="nil"/>
            </w:tcBorders>
            <w:shd w:val="clear" w:color="auto" w:fill="auto"/>
            <w:noWrap/>
            <w:vAlign w:val="bottom"/>
            <w:hideMark/>
          </w:tcPr>
          <w:p w14:paraId="492F433C" w14:textId="77777777" w:rsidR="00C66BC7" w:rsidRPr="007D47D4" w:rsidRDefault="00C66BC7" w:rsidP="002C7140">
            <w:pPr>
              <w:jc w:val="center"/>
            </w:pPr>
            <w:r w:rsidRPr="007D47D4">
              <w:t>0.27</w:t>
            </w:r>
          </w:p>
        </w:tc>
        <w:tc>
          <w:tcPr>
            <w:tcW w:w="960" w:type="dxa"/>
            <w:tcBorders>
              <w:top w:val="nil"/>
              <w:left w:val="nil"/>
              <w:bottom w:val="nil"/>
              <w:right w:val="nil"/>
            </w:tcBorders>
            <w:shd w:val="clear" w:color="auto" w:fill="auto"/>
            <w:noWrap/>
            <w:vAlign w:val="bottom"/>
            <w:hideMark/>
          </w:tcPr>
          <w:p w14:paraId="35333382" w14:textId="77777777" w:rsidR="00C66BC7" w:rsidRPr="007D47D4" w:rsidRDefault="00C66BC7" w:rsidP="002C7140">
            <w:pPr>
              <w:jc w:val="center"/>
            </w:pPr>
            <w:r w:rsidRPr="007D47D4">
              <w:t>3.640</w:t>
            </w:r>
          </w:p>
        </w:tc>
        <w:tc>
          <w:tcPr>
            <w:tcW w:w="960" w:type="dxa"/>
            <w:tcBorders>
              <w:top w:val="nil"/>
              <w:left w:val="nil"/>
              <w:bottom w:val="nil"/>
              <w:right w:val="single" w:sz="4" w:space="0" w:color="auto"/>
            </w:tcBorders>
            <w:shd w:val="clear" w:color="auto" w:fill="auto"/>
            <w:noWrap/>
            <w:vAlign w:val="bottom"/>
            <w:hideMark/>
          </w:tcPr>
          <w:p w14:paraId="084BCC7C" w14:textId="77777777" w:rsidR="00C66BC7" w:rsidRPr="007D47D4" w:rsidRDefault="00C66BC7" w:rsidP="002C7140">
            <w:pPr>
              <w:jc w:val="center"/>
            </w:pPr>
            <w:r w:rsidRPr="007D47D4">
              <w:t>0.610</w:t>
            </w:r>
          </w:p>
        </w:tc>
      </w:tr>
      <w:tr w:rsidR="00C66BC7" w:rsidRPr="007D47D4" w14:paraId="6DB7BE17"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4755D9F7" w14:textId="77777777" w:rsidR="00C66BC7" w:rsidRPr="007D47D4" w:rsidRDefault="00C66BC7" w:rsidP="002C7140">
            <w:r w:rsidRPr="007D47D4">
              <w:t>Producer Manufacturing</w:t>
            </w:r>
          </w:p>
        </w:tc>
        <w:tc>
          <w:tcPr>
            <w:tcW w:w="723" w:type="dxa"/>
            <w:tcBorders>
              <w:top w:val="nil"/>
              <w:left w:val="nil"/>
              <w:bottom w:val="nil"/>
              <w:right w:val="nil"/>
            </w:tcBorders>
            <w:shd w:val="clear" w:color="auto" w:fill="auto"/>
            <w:noWrap/>
            <w:vAlign w:val="bottom"/>
            <w:hideMark/>
          </w:tcPr>
          <w:p w14:paraId="4397A5C2" w14:textId="77777777" w:rsidR="00C66BC7" w:rsidRPr="007D47D4" w:rsidRDefault="00C66BC7" w:rsidP="002C7140">
            <w:pPr>
              <w:jc w:val="center"/>
            </w:pPr>
            <w:r w:rsidRPr="007D47D4">
              <w:t>7</w:t>
            </w:r>
          </w:p>
        </w:tc>
        <w:tc>
          <w:tcPr>
            <w:tcW w:w="1209" w:type="dxa"/>
            <w:tcBorders>
              <w:top w:val="nil"/>
              <w:left w:val="single" w:sz="4" w:space="0" w:color="auto"/>
              <w:bottom w:val="nil"/>
              <w:right w:val="nil"/>
            </w:tcBorders>
            <w:shd w:val="clear" w:color="auto" w:fill="auto"/>
            <w:noWrap/>
            <w:vAlign w:val="bottom"/>
            <w:hideMark/>
          </w:tcPr>
          <w:p w14:paraId="2BBED2D4" w14:textId="77777777" w:rsidR="00C66BC7" w:rsidRPr="007D47D4" w:rsidRDefault="00C66BC7" w:rsidP="002C7140">
            <w:pPr>
              <w:jc w:val="center"/>
              <w:rPr>
                <w:b/>
              </w:rPr>
            </w:pPr>
            <w:r w:rsidRPr="007D47D4">
              <w:rPr>
                <w:b/>
              </w:rPr>
              <w:t>5.53%</w:t>
            </w:r>
          </w:p>
        </w:tc>
        <w:tc>
          <w:tcPr>
            <w:tcW w:w="960" w:type="dxa"/>
            <w:tcBorders>
              <w:top w:val="nil"/>
              <w:left w:val="nil"/>
              <w:bottom w:val="nil"/>
              <w:right w:val="nil"/>
            </w:tcBorders>
            <w:shd w:val="clear" w:color="auto" w:fill="auto"/>
            <w:noWrap/>
            <w:vAlign w:val="bottom"/>
            <w:hideMark/>
          </w:tcPr>
          <w:p w14:paraId="52AAD034" w14:textId="77777777" w:rsidR="00C66BC7" w:rsidRPr="007D47D4" w:rsidRDefault="00C66BC7" w:rsidP="002C7140">
            <w:pPr>
              <w:jc w:val="center"/>
            </w:pPr>
            <w:r w:rsidRPr="007D47D4">
              <w:t>6.69%</w:t>
            </w:r>
          </w:p>
        </w:tc>
        <w:tc>
          <w:tcPr>
            <w:tcW w:w="1110" w:type="dxa"/>
            <w:tcBorders>
              <w:top w:val="nil"/>
              <w:left w:val="nil"/>
              <w:bottom w:val="nil"/>
              <w:right w:val="nil"/>
            </w:tcBorders>
            <w:shd w:val="clear" w:color="auto" w:fill="auto"/>
            <w:noWrap/>
            <w:vAlign w:val="bottom"/>
            <w:hideMark/>
          </w:tcPr>
          <w:p w14:paraId="7E0235C6" w14:textId="77777777" w:rsidR="00C66BC7" w:rsidRPr="007D47D4" w:rsidRDefault="00C66BC7" w:rsidP="002C7140">
            <w:pPr>
              <w:jc w:val="center"/>
            </w:pPr>
            <w:r w:rsidRPr="007D47D4">
              <w:t>0.57</w:t>
            </w:r>
          </w:p>
        </w:tc>
        <w:tc>
          <w:tcPr>
            <w:tcW w:w="960" w:type="dxa"/>
            <w:tcBorders>
              <w:top w:val="nil"/>
              <w:left w:val="nil"/>
              <w:bottom w:val="nil"/>
              <w:right w:val="nil"/>
            </w:tcBorders>
            <w:shd w:val="clear" w:color="auto" w:fill="auto"/>
            <w:noWrap/>
            <w:vAlign w:val="bottom"/>
            <w:hideMark/>
          </w:tcPr>
          <w:p w14:paraId="35D5F9CC" w14:textId="77777777" w:rsidR="00C66BC7" w:rsidRPr="007D47D4" w:rsidRDefault="00C66BC7" w:rsidP="002C7140">
            <w:pPr>
              <w:jc w:val="center"/>
            </w:pPr>
            <w:r w:rsidRPr="007D47D4">
              <w:t>3.180</w:t>
            </w:r>
          </w:p>
        </w:tc>
        <w:tc>
          <w:tcPr>
            <w:tcW w:w="960" w:type="dxa"/>
            <w:tcBorders>
              <w:top w:val="nil"/>
              <w:left w:val="nil"/>
              <w:bottom w:val="nil"/>
              <w:right w:val="single" w:sz="4" w:space="0" w:color="auto"/>
            </w:tcBorders>
            <w:shd w:val="clear" w:color="auto" w:fill="auto"/>
            <w:noWrap/>
            <w:vAlign w:val="bottom"/>
            <w:hideMark/>
          </w:tcPr>
          <w:p w14:paraId="6CDCCD2A" w14:textId="77777777" w:rsidR="00C66BC7" w:rsidRPr="007D47D4" w:rsidRDefault="00C66BC7" w:rsidP="002C7140">
            <w:pPr>
              <w:jc w:val="center"/>
            </w:pPr>
            <w:r w:rsidRPr="007D47D4">
              <w:t>0.452</w:t>
            </w:r>
          </w:p>
        </w:tc>
      </w:tr>
      <w:tr w:rsidR="00C66BC7" w:rsidRPr="007D47D4" w14:paraId="77A355F9" w14:textId="77777777" w:rsidTr="0089053C">
        <w:trPr>
          <w:trHeight w:val="300"/>
        </w:trPr>
        <w:tc>
          <w:tcPr>
            <w:tcW w:w="3525" w:type="dxa"/>
            <w:tcBorders>
              <w:top w:val="nil"/>
              <w:left w:val="single" w:sz="4" w:space="0" w:color="auto"/>
              <w:right w:val="single" w:sz="4" w:space="0" w:color="auto"/>
            </w:tcBorders>
            <w:shd w:val="clear" w:color="auto" w:fill="auto"/>
            <w:noWrap/>
            <w:vAlign w:val="bottom"/>
            <w:hideMark/>
          </w:tcPr>
          <w:p w14:paraId="3D045F88" w14:textId="77777777" w:rsidR="00C66BC7" w:rsidRPr="007D47D4" w:rsidRDefault="00C66BC7" w:rsidP="002C7140">
            <w:r w:rsidRPr="007D47D4">
              <w:t>Industrial Services</w:t>
            </w:r>
          </w:p>
        </w:tc>
        <w:tc>
          <w:tcPr>
            <w:tcW w:w="723" w:type="dxa"/>
            <w:tcBorders>
              <w:top w:val="nil"/>
              <w:left w:val="nil"/>
              <w:right w:val="nil"/>
            </w:tcBorders>
            <w:shd w:val="clear" w:color="auto" w:fill="auto"/>
            <w:noWrap/>
            <w:vAlign w:val="bottom"/>
            <w:hideMark/>
          </w:tcPr>
          <w:p w14:paraId="6BD1C2E3" w14:textId="77777777" w:rsidR="00C66BC7" w:rsidRPr="007D47D4" w:rsidRDefault="00C66BC7" w:rsidP="002C7140">
            <w:pPr>
              <w:jc w:val="center"/>
            </w:pPr>
            <w:r w:rsidRPr="007D47D4">
              <w:t>8</w:t>
            </w:r>
          </w:p>
        </w:tc>
        <w:tc>
          <w:tcPr>
            <w:tcW w:w="1209" w:type="dxa"/>
            <w:tcBorders>
              <w:top w:val="nil"/>
              <w:left w:val="single" w:sz="4" w:space="0" w:color="auto"/>
              <w:right w:val="nil"/>
            </w:tcBorders>
            <w:shd w:val="clear" w:color="auto" w:fill="auto"/>
            <w:noWrap/>
            <w:vAlign w:val="bottom"/>
            <w:hideMark/>
          </w:tcPr>
          <w:p w14:paraId="692E808A" w14:textId="77777777" w:rsidR="00C66BC7" w:rsidRPr="007D47D4" w:rsidRDefault="00C66BC7" w:rsidP="002C7140">
            <w:pPr>
              <w:jc w:val="center"/>
              <w:rPr>
                <w:b/>
              </w:rPr>
            </w:pPr>
            <w:r w:rsidRPr="007D47D4">
              <w:rPr>
                <w:b/>
              </w:rPr>
              <w:t>4.91%</w:t>
            </w:r>
          </w:p>
        </w:tc>
        <w:tc>
          <w:tcPr>
            <w:tcW w:w="960" w:type="dxa"/>
            <w:tcBorders>
              <w:top w:val="nil"/>
              <w:left w:val="nil"/>
              <w:right w:val="nil"/>
            </w:tcBorders>
            <w:shd w:val="clear" w:color="auto" w:fill="auto"/>
            <w:noWrap/>
            <w:vAlign w:val="bottom"/>
            <w:hideMark/>
          </w:tcPr>
          <w:p w14:paraId="38061490" w14:textId="77777777" w:rsidR="00C66BC7" w:rsidRPr="007D47D4" w:rsidRDefault="00C66BC7" w:rsidP="002C7140">
            <w:pPr>
              <w:jc w:val="center"/>
            </w:pPr>
            <w:r w:rsidRPr="007D47D4">
              <w:t>5.04%</w:t>
            </w:r>
          </w:p>
        </w:tc>
        <w:tc>
          <w:tcPr>
            <w:tcW w:w="1110" w:type="dxa"/>
            <w:tcBorders>
              <w:top w:val="nil"/>
              <w:left w:val="nil"/>
              <w:right w:val="nil"/>
            </w:tcBorders>
            <w:shd w:val="clear" w:color="auto" w:fill="auto"/>
            <w:noWrap/>
            <w:vAlign w:val="bottom"/>
            <w:hideMark/>
          </w:tcPr>
          <w:p w14:paraId="5C4F9767" w14:textId="77777777" w:rsidR="00C66BC7" w:rsidRPr="007D47D4" w:rsidRDefault="00C66BC7" w:rsidP="002C7140">
            <w:pPr>
              <w:jc w:val="center"/>
            </w:pPr>
            <w:r w:rsidRPr="007D47D4">
              <w:t>0.55</w:t>
            </w:r>
          </w:p>
        </w:tc>
        <w:tc>
          <w:tcPr>
            <w:tcW w:w="960" w:type="dxa"/>
            <w:tcBorders>
              <w:top w:val="nil"/>
              <w:left w:val="nil"/>
              <w:right w:val="nil"/>
            </w:tcBorders>
            <w:shd w:val="clear" w:color="auto" w:fill="auto"/>
            <w:noWrap/>
            <w:vAlign w:val="bottom"/>
            <w:hideMark/>
          </w:tcPr>
          <w:p w14:paraId="74702202" w14:textId="77777777" w:rsidR="00C66BC7" w:rsidRPr="007D47D4" w:rsidRDefault="00C66BC7" w:rsidP="002C7140">
            <w:pPr>
              <w:jc w:val="center"/>
            </w:pPr>
            <w:r w:rsidRPr="007D47D4">
              <w:t>2.724</w:t>
            </w:r>
          </w:p>
        </w:tc>
        <w:tc>
          <w:tcPr>
            <w:tcW w:w="960" w:type="dxa"/>
            <w:tcBorders>
              <w:top w:val="nil"/>
              <w:left w:val="nil"/>
              <w:right w:val="single" w:sz="4" w:space="0" w:color="auto"/>
            </w:tcBorders>
            <w:shd w:val="clear" w:color="auto" w:fill="auto"/>
            <w:noWrap/>
            <w:vAlign w:val="bottom"/>
            <w:hideMark/>
          </w:tcPr>
          <w:p w14:paraId="0CD58D88" w14:textId="77777777" w:rsidR="00C66BC7" w:rsidRPr="007D47D4" w:rsidRDefault="00C66BC7" w:rsidP="002C7140">
            <w:pPr>
              <w:jc w:val="center"/>
            </w:pPr>
            <w:r w:rsidRPr="007D47D4">
              <w:t>0.654</w:t>
            </w:r>
          </w:p>
        </w:tc>
      </w:tr>
      <w:tr w:rsidR="00C66BC7" w:rsidRPr="007D47D4" w14:paraId="3184B1ED" w14:textId="77777777" w:rsidTr="0089053C">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50261ACE" w14:textId="77777777" w:rsidR="00C66BC7" w:rsidRPr="007D47D4" w:rsidRDefault="00C66BC7" w:rsidP="002C7140">
            <w:r w:rsidRPr="007D47D4">
              <w:t>Consumer Non-Durables</w:t>
            </w:r>
          </w:p>
        </w:tc>
        <w:tc>
          <w:tcPr>
            <w:tcW w:w="723" w:type="dxa"/>
            <w:tcBorders>
              <w:top w:val="nil"/>
              <w:left w:val="nil"/>
              <w:bottom w:val="single" w:sz="4" w:space="0" w:color="auto"/>
              <w:right w:val="nil"/>
            </w:tcBorders>
            <w:shd w:val="clear" w:color="auto" w:fill="auto"/>
            <w:noWrap/>
            <w:vAlign w:val="bottom"/>
            <w:hideMark/>
          </w:tcPr>
          <w:p w14:paraId="60DF3982" w14:textId="77777777" w:rsidR="00C66BC7" w:rsidRPr="007D47D4" w:rsidRDefault="00C66BC7" w:rsidP="002C7140">
            <w:pPr>
              <w:jc w:val="center"/>
            </w:pPr>
            <w:r w:rsidRPr="007D47D4">
              <w:t>9</w:t>
            </w:r>
          </w:p>
        </w:tc>
        <w:tc>
          <w:tcPr>
            <w:tcW w:w="1209" w:type="dxa"/>
            <w:tcBorders>
              <w:top w:val="nil"/>
              <w:left w:val="single" w:sz="4" w:space="0" w:color="auto"/>
              <w:bottom w:val="single" w:sz="4" w:space="0" w:color="auto"/>
              <w:right w:val="nil"/>
            </w:tcBorders>
            <w:shd w:val="clear" w:color="auto" w:fill="auto"/>
            <w:noWrap/>
            <w:vAlign w:val="bottom"/>
            <w:hideMark/>
          </w:tcPr>
          <w:p w14:paraId="6EAE26E9" w14:textId="77777777" w:rsidR="00C66BC7" w:rsidRPr="007D47D4" w:rsidRDefault="00C66BC7" w:rsidP="002C7140">
            <w:pPr>
              <w:jc w:val="center"/>
              <w:rPr>
                <w:b/>
              </w:rPr>
            </w:pPr>
            <w:r w:rsidRPr="007D47D4">
              <w:rPr>
                <w:b/>
              </w:rPr>
              <w:t>4.91%</w:t>
            </w:r>
          </w:p>
        </w:tc>
        <w:tc>
          <w:tcPr>
            <w:tcW w:w="960" w:type="dxa"/>
            <w:tcBorders>
              <w:top w:val="nil"/>
              <w:left w:val="nil"/>
              <w:bottom w:val="single" w:sz="4" w:space="0" w:color="auto"/>
              <w:right w:val="nil"/>
            </w:tcBorders>
            <w:shd w:val="clear" w:color="auto" w:fill="auto"/>
            <w:noWrap/>
            <w:vAlign w:val="bottom"/>
            <w:hideMark/>
          </w:tcPr>
          <w:p w14:paraId="2A17AE0F" w14:textId="77777777" w:rsidR="00C66BC7" w:rsidRPr="007D47D4" w:rsidRDefault="00C66BC7" w:rsidP="002C7140">
            <w:pPr>
              <w:jc w:val="center"/>
            </w:pPr>
            <w:r w:rsidRPr="007D47D4">
              <w:t>11.68%</w:t>
            </w:r>
          </w:p>
        </w:tc>
        <w:tc>
          <w:tcPr>
            <w:tcW w:w="1110" w:type="dxa"/>
            <w:tcBorders>
              <w:top w:val="nil"/>
              <w:left w:val="nil"/>
              <w:bottom w:val="single" w:sz="4" w:space="0" w:color="auto"/>
              <w:right w:val="nil"/>
            </w:tcBorders>
            <w:shd w:val="clear" w:color="auto" w:fill="auto"/>
            <w:noWrap/>
            <w:vAlign w:val="bottom"/>
            <w:hideMark/>
          </w:tcPr>
          <w:p w14:paraId="697D4133" w14:textId="77777777" w:rsidR="00C66BC7" w:rsidRPr="007D47D4" w:rsidRDefault="00C66BC7" w:rsidP="002C7140">
            <w:pPr>
              <w:jc w:val="center"/>
            </w:pPr>
            <w:r w:rsidRPr="007D47D4">
              <w:t>0.70</w:t>
            </w:r>
          </w:p>
        </w:tc>
        <w:tc>
          <w:tcPr>
            <w:tcW w:w="960" w:type="dxa"/>
            <w:tcBorders>
              <w:top w:val="nil"/>
              <w:left w:val="nil"/>
              <w:bottom w:val="single" w:sz="4" w:space="0" w:color="auto"/>
              <w:right w:val="nil"/>
            </w:tcBorders>
            <w:shd w:val="clear" w:color="auto" w:fill="auto"/>
            <w:noWrap/>
            <w:vAlign w:val="bottom"/>
            <w:hideMark/>
          </w:tcPr>
          <w:p w14:paraId="053B33DF" w14:textId="77777777" w:rsidR="00C66BC7" w:rsidRPr="007D47D4" w:rsidRDefault="00C66BC7" w:rsidP="002C7140">
            <w:pPr>
              <w:jc w:val="center"/>
            </w:pPr>
            <w:r w:rsidRPr="007D47D4">
              <w:t>2.862</w:t>
            </w:r>
          </w:p>
        </w:tc>
        <w:tc>
          <w:tcPr>
            <w:tcW w:w="960" w:type="dxa"/>
            <w:tcBorders>
              <w:top w:val="nil"/>
              <w:left w:val="nil"/>
              <w:bottom w:val="single" w:sz="4" w:space="0" w:color="auto"/>
              <w:right w:val="single" w:sz="4" w:space="0" w:color="auto"/>
            </w:tcBorders>
            <w:shd w:val="clear" w:color="auto" w:fill="auto"/>
            <w:noWrap/>
            <w:vAlign w:val="bottom"/>
            <w:hideMark/>
          </w:tcPr>
          <w:p w14:paraId="4B41AC88" w14:textId="77777777" w:rsidR="00C66BC7" w:rsidRPr="007D47D4" w:rsidRDefault="00C66BC7" w:rsidP="002C7140">
            <w:pPr>
              <w:jc w:val="center"/>
            </w:pPr>
            <w:r w:rsidRPr="007D47D4">
              <w:t>0.211</w:t>
            </w:r>
          </w:p>
        </w:tc>
      </w:tr>
    </w:tbl>
    <w:p w14:paraId="64853C4E" w14:textId="2535683E" w:rsidR="00BE7922" w:rsidRPr="007D47D4" w:rsidRDefault="00C66BC7" w:rsidP="00FB05CD">
      <w:pPr>
        <w:jc w:val="both"/>
        <w:rPr>
          <w:bCs/>
          <w:kern w:val="32"/>
        </w:rPr>
      </w:pPr>
      <w:r w:rsidRPr="007D47D4">
        <w:rPr>
          <w:bCs/>
          <w:kern w:val="32"/>
        </w:rPr>
        <w:t xml:space="preserve"> </w:t>
      </w:r>
    </w:p>
    <w:p w14:paraId="16CE5FB1" w14:textId="4CE1C6D8" w:rsidR="0089053C" w:rsidRPr="007D47D4" w:rsidRDefault="0089053C" w:rsidP="0089053C">
      <w:pPr>
        <w:keepNext/>
        <w:keepLines/>
        <w:jc w:val="center"/>
        <w:outlineLvl w:val="0"/>
        <w:rPr>
          <w:b/>
          <w:bCs/>
          <w:color w:val="000000"/>
        </w:rPr>
      </w:pPr>
      <w:r w:rsidRPr="007D47D4">
        <w:rPr>
          <w:b/>
          <w:bCs/>
          <w:color w:val="000000"/>
        </w:rPr>
        <w:lastRenderedPageBreak/>
        <w:t>Table 3: DuPont Analysis of The New ROME</w:t>
      </w:r>
      <w:r>
        <w:rPr>
          <w:b/>
          <w:bCs/>
          <w:color w:val="000000"/>
        </w:rPr>
        <w:t xml:space="preserve"> (continued)</w:t>
      </w:r>
    </w:p>
    <w:p w14:paraId="72AC91B3" w14:textId="77777777" w:rsidR="0089053C" w:rsidRPr="007D47D4" w:rsidRDefault="0089053C" w:rsidP="0089053C">
      <w:pPr>
        <w:keepNext/>
        <w:keepLines/>
        <w:outlineLvl w:val="0"/>
        <w:rPr>
          <w:bCs/>
          <w:i/>
          <w:kern w:val="32"/>
        </w:rPr>
      </w:pPr>
    </w:p>
    <w:tbl>
      <w:tblPr>
        <w:tblW w:w="9447" w:type="dxa"/>
        <w:tblInd w:w="93" w:type="dxa"/>
        <w:tblLook w:val="04A0" w:firstRow="1" w:lastRow="0" w:firstColumn="1" w:lastColumn="0" w:noHBand="0" w:noVBand="1"/>
      </w:tblPr>
      <w:tblGrid>
        <w:gridCol w:w="3525"/>
        <w:gridCol w:w="723"/>
        <w:gridCol w:w="1209"/>
        <w:gridCol w:w="960"/>
        <w:gridCol w:w="1110"/>
        <w:gridCol w:w="960"/>
        <w:gridCol w:w="960"/>
      </w:tblGrid>
      <w:tr w:rsidR="0089053C" w:rsidRPr="007D47D4" w14:paraId="34959D51" w14:textId="77777777" w:rsidTr="0089053C">
        <w:trPr>
          <w:trHeight w:val="300"/>
        </w:trPr>
        <w:tc>
          <w:tcPr>
            <w:tcW w:w="3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7A89" w14:textId="77777777" w:rsidR="0089053C" w:rsidRPr="007D47D4" w:rsidRDefault="0089053C" w:rsidP="002C7140">
            <w:r w:rsidRPr="007D47D4">
              <w:t> </w:t>
            </w:r>
          </w:p>
        </w:tc>
        <w:tc>
          <w:tcPr>
            <w:tcW w:w="723" w:type="dxa"/>
            <w:tcBorders>
              <w:top w:val="single" w:sz="4" w:space="0" w:color="auto"/>
              <w:left w:val="nil"/>
              <w:bottom w:val="single" w:sz="4" w:space="0" w:color="auto"/>
              <w:right w:val="nil"/>
            </w:tcBorders>
            <w:shd w:val="clear" w:color="auto" w:fill="auto"/>
            <w:noWrap/>
            <w:vAlign w:val="bottom"/>
            <w:hideMark/>
          </w:tcPr>
          <w:p w14:paraId="008FB303" w14:textId="77777777" w:rsidR="0089053C" w:rsidRPr="007D47D4" w:rsidRDefault="0089053C" w:rsidP="002C7140">
            <w:pPr>
              <w:jc w:val="center"/>
            </w:pPr>
            <w:r w:rsidRPr="007D47D4">
              <w:t>Rank</w:t>
            </w:r>
          </w:p>
        </w:tc>
        <w:tc>
          <w:tcPr>
            <w:tcW w:w="1209" w:type="dxa"/>
            <w:tcBorders>
              <w:top w:val="single" w:sz="4" w:space="0" w:color="auto"/>
              <w:left w:val="single" w:sz="4" w:space="0" w:color="auto"/>
              <w:bottom w:val="single" w:sz="4" w:space="0" w:color="auto"/>
              <w:right w:val="nil"/>
            </w:tcBorders>
            <w:shd w:val="clear" w:color="auto" w:fill="auto"/>
            <w:noWrap/>
            <w:vAlign w:val="bottom"/>
            <w:hideMark/>
          </w:tcPr>
          <w:p w14:paraId="23D33A61" w14:textId="77777777" w:rsidR="0089053C" w:rsidRPr="007D47D4" w:rsidRDefault="0089053C" w:rsidP="002C7140">
            <w:pPr>
              <w:jc w:val="center"/>
              <w:rPr>
                <w:b/>
              </w:rPr>
            </w:pPr>
            <w:r w:rsidRPr="007D47D4">
              <w:rPr>
                <w:b/>
              </w:rPr>
              <w:t>ROME  =</w:t>
            </w:r>
          </w:p>
        </w:tc>
        <w:tc>
          <w:tcPr>
            <w:tcW w:w="960" w:type="dxa"/>
            <w:tcBorders>
              <w:top w:val="single" w:sz="4" w:space="0" w:color="auto"/>
              <w:left w:val="nil"/>
              <w:bottom w:val="single" w:sz="4" w:space="0" w:color="auto"/>
              <w:right w:val="nil"/>
            </w:tcBorders>
            <w:shd w:val="clear" w:color="auto" w:fill="auto"/>
            <w:noWrap/>
            <w:vAlign w:val="bottom"/>
            <w:hideMark/>
          </w:tcPr>
          <w:p w14:paraId="79736F3B" w14:textId="77777777" w:rsidR="0089053C" w:rsidRPr="007D47D4" w:rsidRDefault="0089053C" w:rsidP="002C7140">
            <w:pPr>
              <w:jc w:val="center"/>
            </w:pPr>
            <w:r w:rsidRPr="007D47D4">
              <w:t>PM  x</w:t>
            </w:r>
          </w:p>
        </w:tc>
        <w:tc>
          <w:tcPr>
            <w:tcW w:w="1110" w:type="dxa"/>
            <w:tcBorders>
              <w:top w:val="single" w:sz="4" w:space="0" w:color="auto"/>
              <w:left w:val="nil"/>
              <w:bottom w:val="single" w:sz="4" w:space="0" w:color="auto"/>
              <w:right w:val="nil"/>
            </w:tcBorders>
            <w:shd w:val="clear" w:color="auto" w:fill="auto"/>
            <w:noWrap/>
            <w:vAlign w:val="bottom"/>
            <w:hideMark/>
          </w:tcPr>
          <w:p w14:paraId="5C7F2786" w14:textId="77777777" w:rsidR="0089053C" w:rsidRPr="007D47D4" w:rsidRDefault="0089053C" w:rsidP="002C7140">
            <w:pPr>
              <w:jc w:val="center"/>
            </w:pPr>
            <w:r w:rsidRPr="007D47D4">
              <w:t>TATO  x</w:t>
            </w:r>
          </w:p>
        </w:tc>
        <w:tc>
          <w:tcPr>
            <w:tcW w:w="960" w:type="dxa"/>
            <w:tcBorders>
              <w:top w:val="single" w:sz="4" w:space="0" w:color="auto"/>
              <w:left w:val="nil"/>
              <w:bottom w:val="single" w:sz="4" w:space="0" w:color="auto"/>
              <w:right w:val="nil"/>
            </w:tcBorders>
            <w:shd w:val="clear" w:color="auto" w:fill="auto"/>
            <w:noWrap/>
            <w:vAlign w:val="bottom"/>
            <w:hideMark/>
          </w:tcPr>
          <w:p w14:paraId="151C364B" w14:textId="77777777" w:rsidR="0089053C" w:rsidRPr="007D47D4" w:rsidRDefault="0089053C" w:rsidP="002C7140">
            <w:pPr>
              <w:jc w:val="center"/>
            </w:pPr>
            <w:r w:rsidRPr="007D47D4">
              <w:t>EM  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5BA353" w14:textId="77777777" w:rsidR="0089053C" w:rsidRPr="007D47D4" w:rsidRDefault="0089053C" w:rsidP="002C7140">
            <w:pPr>
              <w:jc w:val="center"/>
            </w:pPr>
            <w:r w:rsidRPr="007D47D4">
              <w:t>B/M</w:t>
            </w:r>
          </w:p>
        </w:tc>
      </w:tr>
      <w:tr w:rsidR="0089053C" w:rsidRPr="007D47D4" w14:paraId="26B7C40B"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59B59D36" w14:textId="77777777" w:rsidR="0089053C" w:rsidRPr="007D47D4" w:rsidRDefault="0089053C" w:rsidP="002C7140">
            <w:r w:rsidRPr="007D47D4">
              <w:t>Consumer Services</w:t>
            </w:r>
          </w:p>
        </w:tc>
        <w:tc>
          <w:tcPr>
            <w:tcW w:w="723" w:type="dxa"/>
            <w:tcBorders>
              <w:top w:val="nil"/>
              <w:left w:val="nil"/>
              <w:bottom w:val="nil"/>
              <w:right w:val="nil"/>
            </w:tcBorders>
            <w:shd w:val="clear" w:color="auto" w:fill="auto"/>
            <w:noWrap/>
            <w:vAlign w:val="bottom"/>
            <w:hideMark/>
          </w:tcPr>
          <w:p w14:paraId="275D14D5" w14:textId="77777777" w:rsidR="0089053C" w:rsidRPr="007D47D4" w:rsidRDefault="0089053C" w:rsidP="002C7140">
            <w:pPr>
              <w:jc w:val="center"/>
            </w:pPr>
            <w:r w:rsidRPr="007D47D4">
              <w:t>10</w:t>
            </w:r>
          </w:p>
        </w:tc>
        <w:tc>
          <w:tcPr>
            <w:tcW w:w="1209" w:type="dxa"/>
            <w:tcBorders>
              <w:top w:val="nil"/>
              <w:left w:val="single" w:sz="4" w:space="0" w:color="auto"/>
              <w:bottom w:val="nil"/>
              <w:right w:val="nil"/>
            </w:tcBorders>
            <w:shd w:val="clear" w:color="auto" w:fill="auto"/>
            <w:noWrap/>
            <w:vAlign w:val="bottom"/>
            <w:hideMark/>
          </w:tcPr>
          <w:p w14:paraId="38F4FEA7" w14:textId="77777777" w:rsidR="0089053C" w:rsidRPr="007D47D4" w:rsidRDefault="0089053C" w:rsidP="002C7140">
            <w:pPr>
              <w:jc w:val="center"/>
              <w:rPr>
                <w:b/>
              </w:rPr>
            </w:pPr>
            <w:r w:rsidRPr="007D47D4">
              <w:rPr>
                <w:b/>
              </w:rPr>
              <w:t>4.85%</w:t>
            </w:r>
          </w:p>
        </w:tc>
        <w:tc>
          <w:tcPr>
            <w:tcW w:w="960" w:type="dxa"/>
            <w:tcBorders>
              <w:top w:val="nil"/>
              <w:left w:val="nil"/>
              <w:bottom w:val="nil"/>
              <w:right w:val="nil"/>
            </w:tcBorders>
            <w:shd w:val="clear" w:color="auto" w:fill="auto"/>
            <w:noWrap/>
            <w:vAlign w:val="bottom"/>
            <w:hideMark/>
          </w:tcPr>
          <w:p w14:paraId="29DA2D41" w14:textId="77777777" w:rsidR="0089053C" w:rsidRPr="007D47D4" w:rsidRDefault="0089053C" w:rsidP="002C7140">
            <w:pPr>
              <w:jc w:val="center"/>
            </w:pPr>
            <w:r w:rsidRPr="007D47D4">
              <w:t>10.23%</w:t>
            </w:r>
          </w:p>
        </w:tc>
        <w:tc>
          <w:tcPr>
            <w:tcW w:w="1110" w:type="dxa"/>
            <w:tcBorders>
              <w:top w:val="nil"/>
              <w:left w:val="nil"/>
              <w:bottom w:val="nil"/>
              <w:right w:val="nil"/>
            </w:tcBorders>
            <w:shd w:val="clear" w:color="auto" w:fill="auto"/>
            <w:noWrap/>
            <w:vAlign w:val="bottom"/>
            <w:hideMark/>
          </w:tcPr>
          <w:p w14:paraId="3206CF43" w14:textId="77777777" w:rsidR="0089053C" w:rsidRPr="007D47D4" w:rsidRDefault="0089053C" w:rsidP="002C7140">
            <w:pPr>
              <w:jc w:val="center"/>
            </w:pPr>
            <w:r w:rsidRPr="007D47D4">
              <w:t>0.55</w:t>
            </w:r>
          </w:p>
        </w:tc>
        <w:tc>
          <w:tcPr>
            <w:tcW w:w="960" w:type="dxa"/>
            <w:tcBorders>
              <w:top w:val="nil"/>
              <w:left w:val="nil"/>
              <w:bottom w:val="nil"/>
              <w:right w:val="nil"/>
            </w:tcBorders>
            <w:shd w:val="clear" w:color="auto" w:fill="auto"/>
            <w:noWrap/>
            <w:vAlign w:val="bottom"/>
            <w:hideMark/>
          </w:tcPr>
          <w:p w14:paraId="4A49FD1B" w14:textId="77777777" w:rsidR="0089053C" w:rsidRPr="007D47D4" w:rsidRDefault="0089053C" w:rsidP="002C7140">
            <w:pPr>
              <w:jc w:val="center"/>
            </w:pPr>
            <w:r w:rsidRPr="007D47D4">
              <w:t>3.377</w:t>
            </w:r>
          </w:p>
        </w:tc>
        <w:tc>
          <w:tcPr>
            <w:tcW w:w="960" w:type="dxa"/>
            <w:tcBorders>
              <w:top w:val="nil"/>
              <w:left w:val="nil"/>
              <w:bottom w:val="nil"/>
              <w:right w:val="single" w:sz="4" w:space="0" w:color="auto"/>
            </w:tcBorders>
            <w:shd w:val="clear" w:color="auto" w:fill="auto"/>
            <w:noWrap/>
            <w:vAlign w:val="bottom"/>
            <w:hideMark/>
          </w:tcPr>
          <w:p w14:paraId="137FBE64" w14:textId="77777777" w:rsidR="0089053C" w:rsidRPr="007D47D4" w:rsidRDefault="0089053C" w:rsidP="002C7140">
            <w:pPr>
              <w:jc w:val="center"/>
            </w:pPr>
            <w:r w:rsidRPr="007D47D4">
              <w:t>0.256</w:t>
            </w:r>
          </w:p>
        </w:tc>
      </w:tr>
      <w:tr w:rsidR="0089053C" w:rsidRPr="007D47D4" w14:paraId="506333C5"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72E898EF" w14:textId="77777777" w:rsidR="0089053C" w:rsidRPr="007D47D4" w:rsidRDefault="0089053C" w:rsidP="002C7140">
            <w:r w:rsidRPr="007D47D4">
              <w:t>Retail Trade</w:t>
            </w:r>
          </w:p>
        </w:tc>
        <w:tc>
          <w:tcPr>
            <w:tcW w:w="723" w:type="dxa"/>
            <w:tcBorders>
              <w:top w:val="nil"/>
              <w:left w:val="nil"/>
              <w:bottom w:val="nil"/>
              <w:right w:val="nil"/>
            </w:tcBorders>
            <w:shd w:val="clear" w:color="auto" w:fill="auto"/>
            <w:noWrap/>
            <w:vAlign w:val="bottom"/>
            <w:hideMark/>
          </w:tcPr>
          <w:p w14:paraId="603FF8D7" w14:textId="77777777" w:rsidR="0089053C" w:rsidRPr="007D47D4" w:rsidRDefault="0089053C" w:rsidP="002C7140">
            <w:pPr>
              <w:jc w:val="center"/>
            </w:pPr>
            <w:r w:rsidRPr="007D47D4">
              <w:t>11</w:t>
            </w:r>
          </w:p>
        </w:tc>
        <w:tc>
          <w:tcPr>
            <w:tcW w:w="1209" w:type="dxa"/>
            <w:tcBorders>
              <w:top w:val="nil"/>
              <w:left w:val="single" w:sz="4" w:space="0" w:color="auto"/>
              <w:bottom w:val="nil"/>
              <w:right w:val="nil"/>
            </w:tcBorders>
            <w:shd w:val="clear" w:color="auto" w:fill="auto"/>
            <w:noWrap/>
            <w:vAlign w:val="bottom"/>
            <w:hideMark/>
          </w:tcPr>
          <w:p w14:paraId="113A3F3A" w14:textId="77777777" w:rsidR="0089053C" w:rsidRPr="007D47D4" w:rsidRDefault="0089053C" w:rsidP="002C7140">
            <w:pPr>
              <w:jc w:val="center"/>
              <w:rPr>
                <w:b/>
              </w:rPr>
            </w:pPr>
            <w:r w:rsidRPr="007D47D4">
              <w:rPr>
                <w:b/>
              </w:rPr>
              <w:t>4.39%</w:t>
            </w:r>
          </w:p>
        </w:tc>
        <w:tc>
          <w:tcPr>
            <w:tcW w:w="960" w:type="dxa"/>
            <w:tcBorders>
              <w:top w:val="nil"/>
              <w:left w:val="nil"/>
              <w:bottom w:val="nil"/>
              <w:right w:val="nil"/>
            </w:tcBorders>
            <w:shd w:val="clear" w:color="auto" w:fill="auto"/>
            <w:noWrap/>
            <w:vAlign w:val="bottom"/>
            <w:hideMark/>
          </w:tcPr>
          <w:p w14:paraId="029855DD" w14:textId="77777777" w:rsidR="0089053C" w:rsidRPr="007D47D4" w:rsidRDefault="0089053C" w:rsidP="002C7140">
            <w:pPr>
              <w:jc w:val="center"/>
            </w:pPr>
            <w:r w:rsidRPr="007D47D4">
              <w:t>3.49%</w:t>
            </w:r>
          </w:p>
        </w:tc>
        <w:tc>
          <w:tcPr>
            <w:tcW w:w="1110" w:type="dxa"/>
            <w:tcBorders>
              <w:top w:val="nil"/>
              <w:left w:val="nil"/>
              <w:bottom w:val="nil"/>
              <w:right w:val="nil"/>
            </w:tcBorders>
            <w:shd w:val="clear" w:color="auto" w:fill="auto"/>
            <w:noWrap/>
            <w:vAlign w:val="bottom"/>
            <w:hideMark/>
          </w:tcPr>
          <w:p w14:paraId="29229ED5" w14:textId="77777777" w:rsidR="0089053C" w:rsidRPr="007D47D4" w:rsidRDefault="0089053C" w:rsidP="002C7140">
            <w:pPr>
              <w:jc w:val="center"/>
            </w:pPr>
            <w:r w:rsidRPr="007D47D4">
              <w:t>1.89</w:t>
            </w:r>
          </w:p>
        </w:tc>
        <w:tc>
          <w:tcPr>
            <w:tcW w:w="960" w:type="dxa"/>
            <w:tcBorders>
              <w:top w:val="nil"/>
              <w:left w:val="nil"/>
              <w:bottom w:val="nil"/>
              <w:right w:val="nil"/>
            </w:tcBorders>
            <w:shd w:val="clear" w:color="auto" w:fill="auto"/>
            <w:noWrap/>
            <w:vAlign w:val="bottom"/>
            <w:hideMark/>
          </w:tcPr>
          <w:p w14:paraId="303416EA" w14:textId="77777777" w:rsidR="0089053C" w:rsidRPr="007D47D4" w:rsidRDefault="0089053C" w:rsidP="002C7140">
            <w:pPr>
              <w:jc w:val="center"/>
            </w:pPr>
            <w:r w:rsidRPr="007D47D4">
              <w:t>3.055</w:t>
            </w:r>
          </w:p>
        </w:tc>
        <w:tc>
          <w:tcPr>
            <w:tcW w:w="960" w:type="dxa"/>
            <w:tcBorders>
              <w:top w:val="nil"/>
              <w:left w:val="nil"/>
              <w:bottom w:val="nil"/>
              <w:right w:val="single" w:sz="4" w:space="0" w:color="auto"/>
            </w:tcBorders>
            <w:shd w:val="clear" w:color="auto" w:fill="auto"/>
            <w:noWrap/>
            <w:vAlign w:val="bottom"/>
            <w:hideMark/>
          </w:tcPr>
          <w:p w14:paraId="595FEF11" w14:textId="77777777" w:rsidR="0089053C" w:rsidRPr="007D47D4" w:rsidRDefault="0089053C" w:rsidP="002C7140">
            <w:pPr>
              <w:jc w:val="center"/>
            </w:pPr>
            <w:r w:rsidRPr="007D47D4">
              <w:t>0.218</w:t>
            </w:r>
          </w:p>
        </w:tc>
      </w:tr>
      <w:tr w:rsidR="0089053C" w:rsidRPr="007D47D4" w14:paraId="598A2A17"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08C5E92E" w14:textId="77777777" w:rsidR="0089053C" w:rsidRPr="007D47D4" w:rsidRDefault="0089053C" w:rsidP="002C7140">
            <w:r w:rsidRPr="007D47D4">
              <w:t>Commercial &amp; Distribution Services</w:t>
            </w:r>
          </w:p>
        </w:tc>
        <w:tc>
          <w:tcPr>
            <w:tcW w:w="723" w:type="dxa"/>
            <w:tcBorders>
              <w:top w:val="nil"/>
              <w:left w:val="nil"/>
              <w:bottom w:val="nil"/>
              <w:right w:val="nil"/>
            </w:tcBorders>
            <w:shd w:val="clear" w:color="auto" w:fill="auto"/>
            <w:noWrap/>
            <w:vAlign w:val="bottom"/>
            <w:hideMark/>
          </w:tcPr>
          <w:p w14:paraId="2B8F50AB" w14:textId="77777777" w:rsidR="0089053C" w:rsidRPr="007D47D4" w:rsidRDefault="0089053C" w:rsidP="002C7140">
            <w:pPr>
              <w:jc w:val="center"/>
            </w:pPr>
            <w:r w:rsidRPr="007D47D4">
              <w:t>12</w:t>
            </w:r>
          </w:p>
        </w:tc>
        <w:tc>
          <w:tcPr>
            <w:tcW w:w="1209" w:type="dxa"/>
            <w:tcBorders>
              <w:top w:val="nil"/>
              <w:left w:val="single" w:sz="4" w:space="0" w:color="auto"/>
              <w:bottom w:val="nil"/>
              <w:right w:val="nil"/>
            </w:tcBorders>
            <w:shd w:val="clear" w:color="auto" w:fill="auto"/>
            <w:noWrap/>
            <w:vAlign w:val="bottom"/>
            <w:hideMark/>
          </w:tcPr>
          <w:p w14:paraId="34168A7C" w14:textId="77777777" w:rsidR="0089053C" w:rsidRPr="007D47D4" w:rsidRDefault="0089053C" w:rsidP="002C7140">
            <w:pPr>
              <w:jc w:val="center"/>
              <w:rPr>
                <w:b/>
              </w:rPr>
            </w:pPr>
            <w:r w:rsidRPr="007D47D4">
              <w:rPr>
                <w:b/>
              </w:rPr>
              <w:t>3.83%</w:t>
            </w:r>
          </w:p>
        </w:tc>
        <w:tc>
          <w:tcPr>
            <w:tcW w:w="960" w:type="dxa"/>
            <w:tcBorders>
              <w:top w:val="nil"/>
              <w:left w:val="nil"/>
              <w:bottom w:val="nil"/>
              <w:right w:val="nil"/>
            </w:tcBorders>
            <w:shd w:val="clear" w:color="auto" w:fill="auto"/>
            <w:noWrap/>
            <w:vAlign w:val="bottom"/>
            <w:hideMark/>
          </w:tcPr>
          <w:p w14:paraId="5FCB9322" w14:textId="77777777" w:rsidR="0089053C" w:rsidRPr="007D47D4" w:rsidRDefault="0089053C" w:rsidP="002C7140">
            <w:pPr>
              <w:jc w:val="center"/>
            </w:pPr>
            <w:r w:rsidRPr="007D47D4">
              <w:t>5.96%</w:t>
            </w:r>
          </w:p>
        </w:tc>
        <w:tc>
          <w:tcPr>
            <w:tcW w:w="1110" w:type="dxa"/>
            <w:tcBorders>
              <w:top w:val="nil"/>
              <w:left w:val="nil"/>
              <w:bottom w:val="nil"/>
              <w:right w:val="nil"/>
            </w:tcBorders>
            <w:shd w:val="clear" w:color="auto" w:fill="auto"/>
            <w:noWrap/>
            <w:vAlign w:val="bottom"/>
            <w:hideMark/>
          </w:tcPr>
          <w:p w14:paraId="1FD86242" w14:textId="77777777" w:rsidR="0089053C" w:rsidRPr="007D47D4" w:rsidRDefault="0089053C" w:rsidP="002C7140">
            <w:pPr>
              <w:jc w:val="center"/>
            </w:pPr>
            <w:r w:rsidRPr="007D47D4">
              <w:t>0.79</w:t>
            </w:r>
          </w:p>
        </w:tc>
        <w:tc>
          <w:tcPr>
            <w:tcW w:w="960" w:type="dxa"/>
            <w:tcBorders>
              <w:top w:val="nil"/>
              <w:left w:val="nil"/>
              <w:bottom w:val="nil"/>
              <w:right w:val="nil"/>
            </w:tcBorders>
            <w:shd w:val="clear" w:color="auto" w:fill="auto"/>
            <w:noWrap/>
            <w:vAlign w:val="bottom"/>
            <w:hideMark/>
          </w:tcPr>
          <w:p w14:paraId="4B3E4ED3" w14:textId="77777777" w:rsidR="0089053C" w:rsidRPr="007D47D4" w:rsidRDefault="0089053C" w:rsidP="002C7140">
            <w:pPr>
              <w:jc w:val="center"/>
            </w:pPr>
            <w:r w:rsidRPr="007D47D4">
              <w:t>3.105</w:t>
            </w:r>
          </w:p>
        </w:tc>
        <w:tc>
          <w:tcPr>
            <w:tcW w:w="960" w:type="dxa"/>
            <w:tcBorders>
              <w:top w:val="nil"/>
              <w:left w:val="nil"/>
              <w:bottom w:val="nil"/>
              <w:right w:val="single" w:sz="4" w:space="0" w:color="auto"/>
            </w:tcBorders>
            <w:shd w:val="clear" w:color="auto" w:fill="auto"/>
            <w:noWrap/>
            <w:vAlign w:val="bottom"/>
            <w:hideMark/>
          </w:tcPr>
          <w:p w14:paraId="3062CE1E" w14:textId="77777777" w:rsidR="0089053C" w:rsidRPr="007D47D4" w:rsidRDefault="0089053C" w:rsidP="002C7140">
            <w:pPr>
              <w:jc w:val="center"/>
            </w:pPr>
            <w:r w:rsidRPr="007D47D4">
              <w:t>0.262</w:t>
            </w:r>
          </w:p>
        </w:tc>
      </w:tr>
      <w:tr w:rsidR="0089053C" w:rsidRPr="007D47D4" w14:paraId="061B2813"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247DA25A" w14:textId="77777777" w:rsidR="0089053C" w:rsidRPr="007D47D4" w:rsidRDefault="0089053C" w:rsidP="002C7140">
            <w:r w:rsidRPr="007D47D4">
              <w:t>Technology &amp; Health Services</w:t>
            </w:r>
          </w:p>
        </w:tc>
        <w:tc>
          <w:tcPr>
            <w:tcW w:w="723" w:type="dxa"/>
            <w:tcBorders>
              <w:top w:val="nil"/>
              <w:left w:val="nil"/>
              <w:bottom w:val="nil"/>
              <w:right w:val="nil"/>
            </w:tcBorders>
            <w:shd w:val="clear" w:color="auto" w:fill="auto"/>
            <w:noWrap/>
            <w:vAlign w:val="bottom"/>
            <w:hideMark/>
          </w:tcPr>
          <w:p w14:paraId="02CA230D" w14:textId="77777777" w:rsidR="0089053C" w:rsidRPr="007D47D4" w:rsidRDefault="0089053C" w:rsidP="002C7140">
            <w:pPr>
              <w:jc w:val="center"/>
            </w:pPr>
            <w:r w:rsidRPr="007D47D4">
              <w:t>13</w:t>
            </w:r>
          </w:p>
        </w:tc>
        <w:tc>
          <w:tcPr>
            <w:tcW w:w="1209" w:type="dxa"/>
            <w:tcBorders>
              <w:top w:val="nil"/>
              <w:left w:val="single" w:sz="4" w:space="0" w:color="auto"/>
              <w:bottom w:val="nil"/>
              <w:right w:val="nil"/>
            </w:tcBorders>
            <w:shd w:val="clear" w:color="auto" w:fill="auto"/>
            <w:noWrap/>
            <w:vAlign w:val="bottom"/>
            <w:hideMark/>
          </w:tcPr>
          <w:p w14:paraId="1FAF60B9" w14:textId="77777777" w:rsidR="0089053C" w:rsidRPr="007D47D4" w:rsidRDefault="0089053C" w:rsidP="002C7140">
            <w:pPr>
              <w:jc w:val="center"/>
              <w:rPr>
                <w:b/>
              </w:rPr>
            </w:pPr>
            <w:r w:rsidRPr="007D47D4">
              <w:rPr>
                <w:b/>
              </w:rPr>
              <w:t>3.47%</w:t>
            </w:r>
          </w:p>
        </w:tc>
        <w:tc>
          <w:tcPr>
            <w:tcW w:w="960" w:type="dxa"/>
            <w:tcBorders>
              <w:top w:val="nil"/>
              <w:left w:val="nil"/>
              <w:bottom w:val="nil"/>
              <w:right w:val="nil"/>
            </w:tcBorders>
            <w:shd w:val="clear" w:color="auto" w:fill="auto"/>
            <w:noWrap/>
            <w:vAlign w:val="bottom"/>
            <w:hideMark/>
          </w:tcPr>
          <w:p w14:paraId="261E5920" w14:textId="77777777" w:rsidR="0089053C" w:rsidRPr="007D47D4" w:rsidRDefault="0089053C" w:rsidP="002C7140">
            <w:pPr>
              <w:jc w:val="center"/>
            </w:pPr>
            <w:r w:rsidRPr="007D47D4">
              <w:t>13.25%</w:t>
            </w:r>
          </w:p>
        </w:tc>
        <w:tc>
          <w:tcPr>
            <w:tcW w:w="1110" w:type="dxa"/>
            <w:tcBorders>
              <w:top w:val="nil"/>
              <w:left w:val="nil"/>
              <w:bottom w:val="nil"/>
              <w:right w:val="nil"/>
            </w:tcBorders>
            <w:shd w:val="clear" w:color="auto" w:fill="auto"/>
            <w:noWrap/>
            <w:vAlign w:val="bottom"/>
            <w:hideMark/>
          </w:tcPr>
          <w:p w14:paraId="754DE8C7" w14:textId="77777777" w:rsidR="0089053C" w:rsidRPr="007D47D4" w:rsidRDefault="0089053C" w:rsidP="002C7140">
            <w:pPr>
              <w:jc w:val="center"/>
            </w:pPr>
            <w:r w:rsidRPr="007D47D4">
              <w:t>0.56</w:t>
            </w:r>
          </w:p>
        </w:tc>
        <w:tc>
          <w:tcPr>
            <w:tcW w:w="960" w:type="dxa"/>
            <w:tcBorders>
              <w:top w:val="nil"/>
              <w:left w:val="nil"/>
              <w:bottom w:val="nil"/>
              <w:right w:val="nil"/>
            </w:tcBorders>
            <w:shd w:val="clear" w:color="auto" w:fill="auto"/>
            <w:noWrap/>
            <w:vAlign w:val="bottom"/>
            <w:hideMark/>
          </w:tcPr>
          <w:p w14:paraId="48E8176C" w14:textId="77777777" w:rsidR="0089053C" w:rsidRPr="007D47D4" w:rsidRDefault="0089053C" w:rsidP="002C7140">
            <w:pPr>
              <w:jc w:val="center"/>
            </w:pPr>
            <w:r w:rsidRPr="007D47D4">
              <w:t>2.242</w:t>
            </w:r>
          </w:p>
        </w:tc>
        <w:tc>
          <w:tcPr>
            <w:tcW w:w="960" w:type="dxa"/>
            <w:tcBorders>
              <w:top w:val="nil"/>
              <w:left w:val="nil"/>
              <w:bottom w:val="nil"/>
              <w:right w:val="single" w:sz="4" w:space="0" w:color="auto"/>
            </w:tcBorders>
            <w:shd w:val="clear" w:color="auto" w:fill="auto"/>
            <w:noWrap/>
            <w:vAlign w:val="bottom"/>
            <w:hideMark/>
          </w:tcPr>
          <w:p w14:paraId="0AD7711D" w14:textId="77777777" w:rsidR="0089053C" w:rsidRPr="007D47D4" w:rsidRDefault="0089053C" w:rsidP="002C7140">
            <w:pPr>
              <w:jc w:val="center"/>
            </w:pPr>
            <w:r w:rsidRPr="007D47D4">
              <w:t>0.208</w:t>
            </w:r>
          </w:p>
        </w:tc>
      </w:tr>
      <w:tr w:rsidR="0089053C" w:rsidRPr="007D47D4" w14:paraId="5C189C3F"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5ADD1FC4" w14:textId="77777777" w:rsidR="0089053C" w:rsidRPr="007D47D4" w:rsidRDefault="0089053C" w:rsidP="002C7140">
            <w:r w:rsidRPr="007D47D4">
              <w:t>Communications</w:t>
            </w:r>
          </w:p>
        </w:tc>
        <w:tc>
          <w:tcPr>
            <w:tcW w:w="723" w:type="dxa"/>
            <w:tcBorders>
              <w:top w:val="nil"/>
              <w:left w:val="nil"/>
              <w:bottom w:val="nil"/>
              <w:right w:val="nil"/>
            </w:tcBorders>
            <w:shd w:val="clear" w:color="auto" w:fill="auto"/>
            <w:noWrap/>
            <w:vAlign w:val="bottom"/>
            <w:hideMark/>
          </w:tcPr>
          <w:p w14:paraId="70188B40" w14:textId="77777777" w:rsidR="0089053C" w:rsidRPr="007D47D4" w:rsidRDefault="0089053C" w:rsidP="002C7140">
            <w:pPr>
              <w:jc w:val="center"/>
            </w:pPr>
            <w:r w:rsidRPr="007D47D4">
              <w:t>14</w:t>
            </w:r>
          </w:p>
        </w:tc>
        <w:tc>
          <w:tcPr>
            <w:tcW w:w="1209" w:type="dxa"/>
            <w:tcBorders>
              <w:top w:val="nil"/>
              <w:left w:val="single" w:sz="4" w:space="0" w:color="auto"/>
              <w:bottom w:val="nil"/>
              <w:right w:val="nil"/>
            </w:tcBorders>
            <w:shd w:val="clear" w:color="auto" w:fill="auto"/>
            <w:noWrap/>
            <w:vAlign w:val="bottom"/>
            <w:hideMark/>
          </w:tcPr>
          <w:p w14:paraId="78A30969" w14:textId="77777777" w:rsidR="0089053C" w:rsidRPr="007D47D4" w:rsidRDefault="0089053C" w:rsidP="002C7140">
            <w:pPr>
              <w:jc w:val="center"/>
              <w:rPr>
                <w:b/>
              </w:rPr>
            </w:pPr>
            <w:r w:rsidRPr="007D47D4">
              <w:rPr>
                <w:b/>
              </w:rPr>
              <w:t>3.38%</w:t>
            </w:r>
          </w:p>
        </w:tc>
        <w:tc>
          <w:tcPr>
            <w:tcW w:w="960" w:type="dxa"/>
            <w:tcBorders>
              <w:top w:val="nil"/>
              <w:left w:val="nil"/>
              <w:bottom w:val="nil"/>
              <w:right w:val="nil"/>
            </w:tcBorders>
            <w:shd w:val="clear" w:color="auto" w:fill="auto"/>
            <w:noWrap/>
            <w:vAlign w:val="bottom"/>
            <w:hideMark/>
          </w:tcPr>
          <w:p w14:paraId="21AD0864" w14:textId="77777777" w:rsidR="0089053C" w:rsidRPr="007D47D4" w:rsidRDefault="0089053C" w:rsidP="002C7140">
            <w:pPr>
              <w:jc w:val="center"/>
            </w:pPr>
            <w:r w:rsidRPr="007D47D4">
              <w:t>4.33%</w:t>
            </w:r>
          </w:p>
        </w:tc>
        <w:tc>
          <w:tcPr>
            <w:tcW w:w="1110" w:type="dxa"/>
            <w:tcBorders>
              <w:top w:val="nil"/>
              <w:left w:val="nil"/>
              <w:bottom w:val="nil"/>
              <w:right w:val="nil"/>
            </w:tcBorders>
            <w:shd w:val="clear" w:color="auto" w:fill="auto"/>
            <w:noWrap/>
            <w:vAlign w:val="bottom"/>
            <w:hideMark/>
          </w:tcPr>
          <w:p w14:paraId="0627B8ED" w14:textId="77777777" w:rsidR="0089053C" w:rsidRPr="007D47D4" w:rsidRDefault="0089053C" w:rsidP="002C7140">
            <w:pPr>
              <w:jc w:val="center"/>
            </w:pPr>
            <w:r w:rsidRPr="007D47D4">
              <w:t>0.44</w:t>
            </w:r>
          </w:p>
        </w:tc>
        <w:tc>
          <w:tcPr>
            <w:tcW w:w="960" w:type="dxa"/>
            <w:tcBorders>
              <w:top w:val="nil"/>
              <w:left w:val="nil"/>
              <w:bottom w:val="nil"/>
              <w:right w:val="nil"/>
            </w:tcBorders>
            <w:shd w:val="clear" w:color="auto" w:fill="auto"/>
            <w:noWrap/>
            <w:vAlign w:val="bottom"/>
            <w:hideMark/>
          </w:tcPr>
          <w:p w14:paraId="3CEE1259" w14:textId="77777777" w:rsidR="0089053C" w:rsidRPr="007D47D4" w:rsidRDefault="0089053C" w:rsidP="002C7140">
            <w:pPr>
              <w:jc w:val="center"/>
            </w:pPr>
            <w:r w:rsidRPr="007D47D4">
              <w:t>4.612</w:t>
            </w:r>
          </w:p>
        </w:tc>
        <w:tc>
          <w:tcPr>
            <w:tcW w:w="960" w:type="dxa"/>
            <w:tcBorders>
              <w:top w:val="nil"/>
              <w:left w:val="nil"/>
              <w:bottom w:val="nil"/>
              <w:right w:val="single" w:sz="4" w:space="0" w:color="auto"/>
            </w:tcBorders>
            <w:shd w:val="clear" w:color="auto" w:fill="auto"/>
            <w:noWrap/>
            <w:vAlign w:val="bottom"/>
            <w:hideMark/>
          </w:tcPr>
          <w:p w14:paraId="1442A74B" w14:textId="77777777" w:rsidR="0089053C" w:rsidRPr="007D47D4" w:rsidRDefault="0089053C" w:rsidP="002C7140">
            <w:pPr>
              <w:jc w:val="center"/>
            </w:pPr>
            <w:r w:rsidRPr="007D47D4">
              <w:t>0.386</w:t>
            </w:r>
          </w:p>
        </w:tc>
      </w:tr>
      <w:tr w:rsidR="0089053C" w:rsidRPr="007D47D4" w14:paraId="51C4145B"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372EF8F9" w14:textId="77777777" w:rsidR="0089053C" w:rsidRPr="007D47D4" w:rsidRDefault="0089053C" w:rsidP="002C7140">
            <w:r w:rsidRPr="007D47D4">
              <w:t>Health Technology</w:t>
            </w:r>
          </w:p>
        </w:tc>
        <w:tc>
          <w:tcPr>
            <w:tcW w:w="723" w:type="dxa"/>
            <w:tcBorders>
              <w:top w:val="nil"/>
              <w:left w:val="nil"/>
              <w:bottom w:val="nil"/>
              <w:right w:val="nil"/>
            </w:tcBorders>
            <w:shd w:val="clear" w:color="auto" w:fill="auto"/>
            <w:noWrap/>
            <w:vAlign w:val="bottom"/>
            <w:hideMark/>
          </w:tcPr>
          <w:p w14:paraId="20124B5D" w14:textId="77777777" w:rsidR="0089053C" w:rsidRPr="007D47D4" w:rsidRDefault="0089053C" w:rsidP="002C7140">
            <w:pPr>
              <w:jc w:val="center"/>
            </w:pPr>
            <w:r w:rsidRPr="007D47D4">
              <w:t>15</w:t>
            </w:r>
          </w:p>
        </w:tc>
        <w:tc>
          <w:tcPr>
            <w:tcW w:w="1209" w:type="dxa"/>
            <w:tcBorders>
              <w:top w:val="nil"/>
              <w:left w:val="single" w:sz="4" w:space="0" w:color="auto"/>
              <w:bottom w:val="nil"/>
              <w:right w:val="nil"/>
            </w:tcBorders>
            <w:shd w:val="clear" w:color="auto" w:fill="auto"/>
            <w:noWrap/>
            <w:vAlign w:val="bottom"/>
            <w:hideMark/>
          </w:tcPr>
          <w:p w14:paraId="78E1FFA1" w14:textId="77777777" w:rsidR="0089053C" w:rsidRPr="007D47D4" w:rsidRDefault="0089053C" w:rsidP="002C7140">
            <w:pPr>
              <w:jc w:val="center"/>
              <w:rPr>
                <w:b/>
              </w:rPr>
            </w:pPr>
            <w:r w:rsidRPr="007D47D4">
              <w:rPr>
                <w:b/>
              </w:rPr>
              <w:t>3.36%</w:t>
            </w:r>
          </w:p>
        </w:tc>
        <w:tc>
          <w:tcPr>
            <w:tcW w:w="960" w:type="dxa"/>
            <w:tcBorders>
              <w:top w:val="nil"/>
              <w:left w:val="nil"/>
              <w:bottom w:val="nil"/>
              <w:right w:val="nil"/>
            </w:tcBorders>
            <w:shd w:val="clear" w:color="auto" w:fill="auto"/>
            <w:noWrap/>
            <w:vAlign w:val="bottom"/>
            <w:hideMark/>
          </w:tcPr>
          <w:p w14:paraId="1118C352" w14:textId="77777777" w:rsidR="0089053C" w:rsidRPr="007D47D4" w:rsidRDefault="0089053C" w:rsidP="002C7140">
            <w:pPr>
              <w:jc w:val="center"/>
            </w:pPr>
            <w:r w:rsidRPr="007D47D4">
              <w:t>16.31%</w:t>
            </w:r>
          </w:p>
        </w:tc>
        <w:tc>
          <w:tcPr>
            <w:tcW w:w="1110" w:type="dxa"/>
            <w:tcBorders>
              <w:top w:val="nil"/>
              <w:left w:val="nil"/>
              <w:bottom w:val="nil"/>
              <w:right w:val="nil"/>
            </w:tcBorders>
            <w:shd w:val="clear" w:color="auto" w:fill="auto"/>
            <w:noWrap/>
            <w:vAlign w:val="bottom"/>
            <w:hideMark/>
          </w:tcPr>
          <w:p w14:paraId="7E09CF9E" w14:textId="77777777" w:rsidR="0089053C" w:rsidRPr="007D47D4" w:rsidRDefault="0089053C" w:rsidP="002C7140">
            <w:pPr>
              <w:jc w:val="center"/>
            </w:pPr>
            <w:r w:rsidRPr="007D47D4">
              <w:t>0.37</w:t>
            </w:r>
          </w:p>
        </w:tc>
        <w:tc>
          <w:tcPr>
            <w:tcW w:w="960" w:type="dxa"/>
            <w:tcBorders>
              <w:top w:val="nil"/>
              <w:left w:val="nil"/>
              <w:bottom w:val="nil"/>
              <w:right w:val="nil"/>
            </w:tcBorders>
            <w:shd w:val="clear" w:color="auto" w:fill="auto"/>
            <w:noWrap/>
            <w:vAlign w:val="bottom"/>
            <w:hideMark/>
          </w:tcPr>
          <w:p w14:paraId="596ECE64" w14:textId="77777777" w:rsidR="0089053C" w:rsidRPr="007D47D4" w:rsidRDefault="0089053C" w:rsidP="002C7140">
            <w:pPr>
              <w:jc w:val="center"/>
            </w:pPr>
            <w:r w:rsidRPr="007D47D4">
              <w:t>2.290</w:t>
            </w:r>
          </w:p>
        </w:tc>
        <w:tc>
          <w:tcPr>
            <w:tcW w:w="960" w:type="dxa"/>
            <w:tcBorders>
              <w:top w:val="nil"/>
              <w:left w:val="nil"/>
              <w:bottom w:val="nil"/>
              <w:right w:val="single" w:sz="4" w:space="0" w:color="auto"/>
            </w:tcBorders>
            <w:shd w:val="clear" w:color="auto" w:fill="auto"/>
            <w:noWrap/>
            <w:vAlign w:val="bottom"/>
            <w:hideMark/>
          </w:tcPr>
          <w:p w14:paraId="0AF0C50C" w14:textId="77777777" w:rsidR="0089053C" w:rsidRPr="007D47D4" w:rsidRDefault="0089053C" w:rsidP="002C7140">
            <w:pPr>
              <w:jc w:val="center"/>
            </w:pPr>
            <w:r w:rsidRPr="007D47D4">
              <w:t>0.243</w:t>
            </w:r>
          </w:p>
        </w:tc>
      </w:tr>
      <w:tr w:rsidR="0089053C" w:rsidRPr="007D47D4" w14:paraId="06021B83" w14:textId="77777777" w:rsidTr="0089053C">
        <w:trPr>
          <w:trHeight w:val="300"/>
        </w:trPr>
        <w:tc>
          <w:tcPr>
            <w:tcW w:w="3525" w:type="dxa"/>
            <w:tcBorders>
              <w:top w:val="nil"/>
              <w:left w:val="single" w:sz="4" w:space="0" w:color="auto"/>
              <w:bottom w:val="nil"/>
              <w:right w:val="single" w:sz="4" w:space="0" w:color="auto"/>
            </w:tcBorders>
            <w:shd w:val="clear" w:color="auto" w:fill="auto"/>
            <w:noWrap/>
            <w:vAlign w:val="bottom"/>
            <w:hideMark/>
          </w:tcPr>
          <w:p w14:paraId="6A4DCD55" w14:textId="77777777" w:rsidR="0089053C" w:rsidRPr="007D47D4" w:rsidRDefault="0089053C" w:rsidP="002C7140">
            <w:r w:rsidRPr="007D47D4">
              <w:t>Energy Minerals</w:t>
            </w:r>
          </w:p>
        </w:tc>
        <w:tc>
          <w:tcPr>
            <w:tcW w:w="723" w:type="dxa"/>
            <w:tcBorders>
              <w:top w:val="nil"/>
              <w:left w:val="nil"/>
              <w:bottom w:val="nil"/>
              <w:right w:val="nil"/>
            </w:tcBorders>
            <w:shd w:val="clear" w:color="auto" w:fill="auto"/>
            <w:noWrap/>
            <w:vAlign w:val="bottom"/>
            <w:hideMark/>
          </w:tcPr>
          <w:p w14:paraId="45CB33C2" w14:textId="77777777" w:rsidR="0089053C" w:rsidRPr="007D47D4" w:rsidRDefault="0089053C" w:rsidP="002C7140">
            <w:pPr>
              <w:jc w:val="center"/>
            </w:pPr>
            <w:r w:rsidRPr="007D47D4">
              <w:t>16</w:t>
            </w:r>
          </w:p>
        </w:tc>
        <w:tc>
          <w:tcPr>
            <w:tcW w:w="1209" w:type="dxa"/>
            <w:tcBorders>
              <w:top w:val="nil"/>
              <w:left w:val="single" w:sz="4" w:space="0" w:color="auto"/>
              <w:bottom w:val="nil"/>
              <w:right w:val="nil"/>
            </w:tcBorders>
            <w:shd w:val="clear" w:color="auto" w:fill="auto"/>
            <w:noWrap/>
            <w:vAlign w:val="bottom"/>
            <w:hideMark/>
          </w:tcPr>
          <w:p w14:paraId="1F8D7950" w14:textId="77777777" w:rsidR="0089053C" w:rsidRPr="007D47D4" w:rsidRDefault="0089053C" w:rsidP="002C7140">
            <w:pPr>
              <w:jc w:val="center"/>
              <w:rPr>
                <w:b/>
              </w:rPr>
            </w:pPr>
            <w:r w:rsidRPr="007D47D4">
              <w:rPr>
                <w:b/>
              </w:rPr>
              <w:t>2.90%</w:t>
            </w:r>
          </w:p>
        </w:tc>
        <w:tc>
          <w:tcPr>
            <w:tcW w:w="960" w:type="dxa"/>
            <w:tcBorders>
              <w:top w:val="nil"/>
              <w:left w:val="nil"/>
              <w:bottom w:val="nil"/>
              <w:right w:val="nil"/>
            </w:tcBorders>
            <w:shd w:val="clear" w:color="auto" w:fill="auto"/>
            <w:noWrap/>
            <w:vAlign w:val="bottom"/>
            <w:hideMark/>
          </w:tcPr>
          <w:p w14:paraId="1173B1C1" w14:textId="77777777" w:rsidR="0089053C" w:rsidRPr="007D47D4" w:rsidRDefault="0089053C" w:rsidP="002C7140">
            <w:pPr>
              <w:jc w:val="center"/>
            </w:pPr>
            <w:r w:rsidRPr="007D47D4">
              <w:t>3.27%</w:t>
            </w:r>
          </w:p>
        </w:tc>
        <w:tc>
          <w:tcPr>
            <w:tcW w:w="1110" w:type="dxa"/>
            <w:tcBorders>
              <w:top w:val="nil"/>
              <w:left w:val="nil"/>
              <w:bottom w:val="nil"/>
              <w:right w:val="nil"/>
            </w:tcBorders>
            <w:shd w:val="clear" w:color="auto" w:fill="auto"/>
            <w:noWrap/>
            <w:vAlign w:val="bottom"/>
            <w:hideMark/>
          </w:tcPr>
          <w:p w14:paraId="1E76FBBA" w14:textId="77777777" w:rsidR="0089053C" w:rsidRPr="007D47D4" w:rsidRDefault="0089053C" w:rsidP="002C7140">
            <w:pPr>
              <w:jc w:val="center"/>
            </w:pPr>
            <w:r w:rsidRPr="007D47D4">
              <w:t>0.57</w:t>
            </w:r>
          </w:p>
        </w:tc>
        <w:tc>
          <w:tcPr>
            <w:tcW w:w="960" w:type="dxa"/>
            <w:tcBorders>
              <w:top w:val="nil"/>
              <w:left w:val="nil"/>
              <w:bottom w:val="nil"/>
              <w:right w:val="nil"/>
            </w:tcBorders>
            <w:shd w:val="clear" w:color="auto" w:fill="auto"/>
            <w:noWrap/>
            <w:vAlign w:val="bottom"/>
            <w:hideMark/>
          </w:tcPr>
          <w:p w14:paraId="55A3D467" w14:textId="77777777" w:rsidR="0089053C" w:rsidRPr="007D47D4" w:rsidRDefault="0089053C" w:rsidP="002C7140">
            <w:pPr>
              <w:jc w:val="center"/>
            </w:pPr>
            <w:r w:rsidRPr="007D47D4">
              <w:t>2.149</w:t>
            </w:r>
          </w:p>
        </w:tc>
        <w:tc>
          <w:tcPr>
            <w:tcW w:w="960" w:type="dxa"/>
            <w:tcBorders>
              <w:top w:val="nil"/>
              <w:left w:val="nil"/>
              <w:bottom w:val="nil"/>
              <w:right w:val="single" w:sz="4" w:space="0" w:color="auto"/>
            </w:tcBorders>
            <w:shd w:val="clear" w:color="auto" w:fill="auto"/>
            <w:noWrap/>
            <w:vAlign w:val="bottom"/>
            <w:hideMark/>
          </w:tcPr>
          <w:p w14:paraId="0918585A" w14:textId="77777777" w:rsidR="0089053C" w:rsidRPr="007D47D4" w:rsidRDefault="0089053C" w:rsidP="002C7140">
            <w:pPr>
              <w:jc w:val="center"/>
            </w:pPr>
            <w:r w:rsidRPr="007D47D4">
              <w:t>0.730</w:t>
            </w:r>
          </w:p>
        </w:tc>
      </w:tr>
      <w:tr w:rsidR="0089053C" w:rsidRPr="007D47D4" w14:paraId="3D437443" w14:textId="77777777" w:rsidTr="0089053C">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19E62784" w14:textId="77777777" w:rsidR="0089053C" w:rsidRPr="007D47D4" w:rsidRDefault="0089053C" w:rsidP="002C7140">
            <w:r w:rsidRPr="007D47D4">
              <w:t>Non-Energy Minerals</w:t>
            </w:r>
          </w:p>
        </w:tc>
        <w:tc>
          <w:tcPr>
            <w:tcW w:w="723" w:type="dxa"/>
            <w:tcBorders>
              <w:top w:val="nil"/>
              <w:left w:val="nil"/>
              <w:bottom w:val="single" w:sz="4" w:space="0" w:color="auto"/>
              <w:right w:val="nil"/>
            </w:tcBorders>
            <w:shd w:val="clear" w:color="auto" w:fill="auto"/>
            <w:noWrap/>
            <w:vAlign w:val="bottom"/>
            <w:hideMark/>
          </w:tcPr>
          <w:p w14:paraId="2D86ABE6" w14:textId="77777777" w:rsidR="0089053C" w:rsidRPr="007D47D4" w:rsidRDefault="0089053C" w:rsidP="002C7140">
            <w:pPr>
              <w:jc w:val="center"/>
            </w:pPr>
            <w:r w:rsidRPr="007D47D4">
              <w:t>17</w:t>
            </w:r>
          </w:p>
        </w:tc>
        <w:tc>
          <w:tcPr>
            <w:tcW w:w="1209" w:type="dxa"/>
            <w:tcBorders>
              <w:top w:val="nil"/>
              <w:left w:val="single" w:sz="4" w:space="0" w:color="auto"/>
              <w:bottom w:val="single" w:sz="4" w:space="0" w:color="auto"/>
              <w:right w:val="nil"/>
            </w:tcBorders>
            <w:shd w:val="clear" w:color="auto" w:fill="auto"/>
            <w:noWrap/>
            <w:vAlign w:val="bottom"/>
            <w:hideMark/>
          </w:tcPr>
          <w:p w14:paraId="227D7232" w14:textId="77777777" w:rsidR="0089053C" w:rsidRPr="007D47D4" w:rsidRDefault="0089053C" w:rsidP="002C7140">
            <w:pPr>
              <w:jc w:val="center"/>
              <w:rPr>
                <w:b/>
              </w:rPr>
            </w:pPr>
            <w:r w:rsidRPr="007D47D4">
              <w:rPr>
                <w:b/>
              </w:rPr>
              <w:t>1.43%</w:t>
            </w:r>
          </w:p>
        </w:tc>
        <w:tc>
          <w:tcPr>
            <w:tcW w:w="960" w:type="dxa"/>
            <w:tcBorders>
              <w:top w:val="nil"/>
              <w:left w:val="nil"/>
              <w:bottom w:val="single" w:sz="4" w:space="0" w:color="auto"/>
              <w:right w:val="nil"/>
            </w:tcBorders>
            <w:shd w:val="clear" w:color="auto" w:fill="auto"/>
            <w:noWrap/>
            <w:vAlign w:val="bottom"/>
            <w:hideMark/>
          </w:tcPr>
          <w:p w14:paraId="4192A142" w14:textId="77777777" w:rsidR="0089053C" w:rsidRPr="007D47D4" w:rsidRDefault="0089053C" w:rsidP="002C7140">
            <w:pPr>
              <w:jc w:val="center"/>
            </w:pPr>
            <w:r w:rsidRPr="007D47D4">
              <w:t>1.44%</w:t>
            </w:r>
          </w:p>
        </w:tc>
        <w:tc>
          <w:tcPr>
            <w:tcW w:w="1110" w:type="dxa"/>
            <w:tcBorders>
              <w:top w:val="nil"/>
              <w:left w:val="nil"/>
              <w:bottom w:val="single" w:sz="4" w:space="0" w:color="auto"/>
              <w:right w:val="nil"/>
            </w:tcBorders>
            <w:shd w:val="clear" w:color="auto" w:fill="auto"/>
            <w:noWrap/>
            <w:vAlign w:val="bottom"/>
            <w:hideMark/>
          </w:tcPr>
          <w:p w14:paraId="31414A8D" w14:textId="77777777" w:rsidR="0089053C" w:rsidRPr="007D47D4" w:rsidRDefault="0089053C" w:rsidP="002C7140">
            <w:pPr>
              <w:jc w:val="center"/>
            </w:pPr>
            <w:r w:rsidRPr="007D47D4">
              <w:t>0.47</w:t>
            </w:r>
          </w:p>
        </w:tc>
        <w:tc>
          <w:tcPr>
            <w:tcW w:w="960" w:type="dxa"/>
            <w:tcBorders>
              <w:top w:val="nil"/>
              <w:left w:val="nil"/>
              <w:bottom w:val="single" w:sz="4" w:space="0" w:color="auto"/>
              <w:right w:val="nil"/>
            </w:tcBorders>
            <w:shd w:val="clear" w:color="auto" w:fill="auto"/>
            <w:noWrap/>
            <w:vAlign w:val="bottom"/>
            <w:hideMark/>
          </w:tcPr>
          <w:p w14:paraId="30D5DA71" w14:textId="77777777" w:rsidR="0089053C" w:rsidRPr="007D47D4" w:rsidRDefault="0089053C" w:rsidP="002C7140">
            <w:pPr>
              <w:jc w:val="center"/>
            </w:pPr>
            <w:r w:rsidRPr="007D47D4">
              <w:t>2.192</w:t>
            </w:r>
          </w:p>
        </w:tc>
        <w:tc>
          <w:tcPr>
            <w:tcW w:w="960" w:type="dxa"/>
            <w:tcBorders>
              <w:top w:val="nil"/>
              <w:left w:val="nil"/>
              <w:bottom w:val="single" w:sz="4" w:space="0" w:color="auto"/>
              <w:right w:val="single" w:sz="4" w:space="0" w:color="auto"/>
            </w:tcBorders>
            <w:shd w:val="clear" w:color="auto" w:fill="auto"/>
            <w:noWrap/>
            <w:vAlign w:val="bottom"/>
            <w:hideMark/>
          </w:tcPr>
          <w:p w14:paraId="1729E503" w14:textId="77777777" w:rsidR="0089053C" w:rsidRPr="007D47D4" w:rsidRDefault="0089053C" w:rsidP="002C7140">
            <w:pPr>
              <w:jc w:val="center"/>
            </w:pPr>
            <w:r w:rsidRPr="007D47D4">
              <w:t>0.971</w:t>
            </w:r>
          </w:p>
        </w:tc>
      </w:tr>
    </w:tbl>
    <w:p w14:paraId="6927CD74" w14:textId="77777777" w:rsidR="0021785A" w:rsidRPr="007D47D4" w:rsidRDefault="00710D65" w:rsidP="00FB05CD">
      <w:pPr>
        <w:keepNext/>
        <w:keepLines/>
        <w:jc w:val="both"/>
        <w:outlineLvl w:val="0"/>
        <w:rPr>
          <w:bCs/>
          <w:kern w:val="32"/>
        </w:rPr>
      </w:pPr>
      <w:r w:rsidRPr="007D47D4">
        <w:rPr>
          <w:bCs/>
          <w:kern w:val="32"/>
        </w:rPr>
        <w:tab/>
      </w:r>
    </w:p>
    <w:p w14:paraId="666755BA" w14:textId="3701C038" w:rsidR="00BE7922" w:rsidRPr="007D47D4" w:rsidRDefault="00710D65" w:rsidP="00FB05CD">
      <w:pPr>
        <w:keepNext/>
        <w:keepLines/>
        <w:ind w:firstLine="720"/>
        <w:jc w:val="both"/>
        <w:outlineLvl w:val="0"/>
        <w:rPr>
          <w:bCs/>
          <w:kern w:val="32"/>
        </w:rPr>
      </w:pPr>
      <w:r w:rsidRPr="007D47D4">
        <w:rPr>
          <w:bCs/>
          <w:kern w:val="32"/>
        </w:rPr>
        <w:t>Table 4 summarizes the change in ranking from ROE to ROME in the rank change column. Consumer Durables moved up five positions from being in a middle quartile to the top, and the Finance sector increased ten spots in the rankings from the bottom quartile to the top</w:t>
      </w:r>
      <w:r w:rsidR="004574BF" w:rsidRPr="007D47D4">
        <w:rPr>
          <w:bCs/>
          <w:kern w:val="32"/>
        </w:rPr>
        <w:t>; o</w:t>
      </w:r>
      <w:r w:rsidRPr="007D47D4">
        <w:rPr>
          <w:bCs/>
          <w:kern w:val="32"/>
        </w:rPr>
        <w:t xml:space="preserve">ther </w:t>
      </w:r>
      <w:r w:rsidR="000633F9" w:rsidRPr="007D47D4">
        <w:rPr>
          <w:bCs/>
          <w:kern w:val="32"/>
        </w:rPr>
        <w:t>sectors</w:t>
      </w:r>
      <w:r w:rsidRPr="007D47D4">
        <w:rPr>
          <w:bCs/>
          <w:kern w:val="32"/>
        </w:rPr>
        <w:t xml:space="preserve"> </w:t>
      </w:r>
      <w:r w:rsidR="000633F9" w:rsidRPr="007D47D4">
        <w:rPr>
          <w:bCs/>
          <w:kern w:val="32"/>
        </w:rPr>
        <w:t xml:space="preserve">such as </w:t>
      </w:r>
      <w:r w:rsidRPr="007D47D4">
        <w:rPr>
          <w:bCs/>
          <w:kern w:val="32"/>
        </w:rPr>
        <w:t>Transportation, Electronic Technology, Communications and Energy</w:t>
      </w:r>
      <w:r w:rsidR="000633F9" w:rsidRPr="007D47D4">
        <w:rPr>
          <w:bCs/>
          <w:kern w:val="32"/>
        </w:rPr>
        <w:t>, experience minimal movement</w:t>
      </w:r>
      <w:r w:rsidRPr="007D47D4">
        <w:rPr>
          <w:bCs/>
          <w:kern w:val="32"/>
        </w:rPr>
        <w:t>. The ROME measure tend</w:t>
      </w:r>
      <w:r w:rsidR="000633F9" w:rsidRPr="007D47D4">
        <w:rPr>
          <w:bCs/>
          <w:kern w:val="32"/>
        </w:rPr>
        <w:t>s</w:t>
      </w:r>
      <w:r w:rsidRPr="007D47D4">
        <w:rPr>
          <w:bCs/>
          <w:kern w:val="32"/>
        </w:rPr>
        <w:t xml:space="preserve"> to improve the ranking of more tangible industries like Producer Manufacturing, Utilities, and </w:t>
      </w:r>
      <w:r w:rsidR="008A1CE8" w:rsidRPr="007D47D4">
        <w:rPr>
          <w:bCs/>
          <w:kern w:val="32"/>
        </w:rPr>
        <w:t>Industrial Services while depressing the ranking of the industries that have more intangible assets</w:t>
      </w:r>
      <w:r w:rsidR="00A947F5" w:rsidRPr="007D47D4">
        <w:rPr>
          <w:bCs/>
          <w:kern w:val="32"/>
        </w:rPr>
        <w:t xml:space="preserve">. This highlights that ROME more accurately reflects investors’ returns today </w:t>
      </w:r>
      <w:r w:rsidR="00645BC5" w:rsidRPr="007D47D4">
        <w:rPr>
          <w:bCs/>
          <w:kern w:val="32"/>
        </w:rPr>
        <w:t>but,</w:t>
      </w:r>
      <w:r w:rsidR="00A947F5" w:rsidRPr="007D47D4">
        <w:rPr>
          <w:bCs/>
          <w:kern w:val="32"/>
        </w:rPr>
        <w:t xml:space="preserve"> similar to its reciprocal the P/E ratio, </w:t>
      </w:r>
      <w:r w:rsidR="00645BC5" w:rsidRPr="007D47D4">
        <w:rPr>
          <w:bCs/>
          <w:kern w:val="32"/>
        </w:rPr>
        <w:t>also captures</w:t>
      </w:r>
      <w:r w:rsidR="00A947F5" w:rsidRPr="007D47D4">
        <w:rPr>
          <w:bCs/>
          <w:kern w:val="32"/>
        </w:rPr>
        <w:t xml:space="preserve"> the potential for future growth opportunities or potential over-valuation.</w:t>
      </w:r>
    </w:p>
    <w:p w14:paraId="6D957B8F" w14:textId="77777777" w:rsidR="00AE00E2" w:rsidRDefault="00AE00E2" w:rsidP="00AE00E2">
      <w:pPr>
        <w:keepNext/>
        <w:keepLines/>
        <w:outlineLvl w:val="0"/>
        <w:rPr>
          <w:b/>
          <w:bCs/>
          <w:color w:val="000000"/>
        </w:rPr>
      </w:pPr>
    </w:p>
    <w:p w14:paraId="2EF37B29" w14:textId="77777777" w:rsidR="00AE00E2" w:rsidRPr="007D47D4" w:rsidRDefault="00AE00E2" w:rsidP="00AE00E2">
      <w:pPr>
        <w:keepNext/>
        <w:keepLines/>
        <w:jc w:val="center"/>
        <w:outlineLvl w:val="0"/>
        <w:rPr>
          <w:bCs/>
          <w:i/>
          <w:kern w:val="32"/>
        </w:rPr>
      </w:pPr>
      <w:r w:rsidRPr="007D47D4">
        <w:rPr>
          <w:b/>
          <w:bCs/>
          <w:color w:val="000000"/>
        </w:rPr>
        <w:t>Table 4: Industry Sector Rank Changes for ROME versus ROE</w:t>
      </w:r>
    </w:p>
    <w:p w14:paraId="4DC8AB1C" w14:textId="77777777" w:rsidR="00AE00E2" w:rsidRPr="007D47D4" w:rsidRDefault="00AE00E2" w:rsidP="00AE00E2">
      <w:pPr>
        <w:keepNext/>
        <w:keepLines/>
        <w:outlineLvl w:val="0"/>
        <w:rPr>
          <w:bCs/>
          <w:i/>
          <w:kern w:val="32"/>
        </w:rPr>
      </w:pPr>
      <w:r w:rsidRPr="007D47D4">
        <w:rPr>
          <w:bCs/>
          <w:i/>
          <w:kern w:val="32"/>
        </w:rPr>
        <w:t xml:space="preserve">Return on Market Equity (ROME) is defined as the ratio of Net Income from Continuing Operations to Market Value of Common Equity, and Return on Equity (ROE) is defined as the ratio of Net Income from Continuing Operations to Average Total Common Equity. Rank Change is difference in industry sector rank using ROME versus ROE. Data is obtained for all industry sectors listed in </w:t>
      </w:r>
      <w:proofErr w:type="spellStart"/>
      <w:r w:rsidRPr="007D47D4">
        <w:rPr>
          <w:bCs/>
          <w:i/>
          <w:kern w:val="32"/>
        </w:rPr>
        <w:t>FactSet</w:t>
      </w:r>
      <w:proofErr w:type="spellEnd"/>
      <w:r w:rsidRPr="007D47D4">
        <w:rPr>
          <w:bCs/>
          <w:i/>
          <w:kern w:val="32"/>
        </w:rPr>
        <w:t>. All ratios are for North America for the year ended December 2015.</w:t>
      </w:r>
    </w:p>
    <w:p w14:paraId="26593B7F" w14:textId="77777777" w:rsidR="00AE00E2" w:rsidRPr="007D47D4" w:rsidRDefault="00AE00E2" w:rsidP="00AE00E2">
      <w:pPr>
        <w:keepNext/>
        <w:keepLines/>
        <w:outlineLvl w:val="0"/>
        <w:rPr>
          <w:b/>
          <w:bCs/>
          <w:kern w:val="32"/>
        </w:rPr>
      </w:pPr>
    </w:p>
    <w:tbl>
      <w:tblPr>
        <w:tblW w:w="6805" w:type="dxa"/>
        <w:tblInd w:w="93" w:type="dxa"/>
        <w:tblLook w:val="04A0" w:firstRow="1" w:lastRow="0" w:firstColumn="1" w:lastColumn="0" w:noHBand="0" w:noVBand="1"/>
      </w:tblPr>
      <w:tblGrid>
        <w:gridCol w:w="3795"/>
        <w:gridCol w:w="1260"/>
        <w:gridCol w:w="910"/>
        <w:gridCol w:w="840"/>
      </w:tblGrid>
      <w:tr w:rsidR="00AE00E2" w:rsidRPr="007D47D4" w14:paraId="106A7A34" w14:textId="77777777" w:rsidTr="00937E13">
        <w:trPr>
          <w:trHeight w:val="585"/>
        </w:trPr>
        <w:tc>
          <w:tcPr>
            <w:tcW w:w="3795" w:type="dxa"/>
            <w:tcBorders>
              <w:top w:val="single" w:sz="4" w:space="0" w:color="auto"/>
              <w:left w:val="single" w:sz="4" w:space="0" w:color="auto"/>
              <w:bottom w:val="single" w:sz="4" w:space="0" w:color="auto"/>
              <w:right w:val="nil"/>
            </w:tcBorders>
            <w:shd w:val="clear" w:color="auto" w:fill="auto"/>
            <w:noWrap/>
            <w:vAlign w:val="bottom"/>
            <w:hideMark/>
          </w:tcPr>
          <w:p w14:paraId="484C474F" w14:textId="77777777" w:rsidR="00AE00E2" w:rsidRPr="007D47D4" w:rsidRDefault="00AE00E2" w:rsidP="002C7140">
            <w:pPr>
              <w:rPr>
                <w:color w:val="000000"/>
              </w:rPr>
            </w:pPr>
            <w:r w:rsidRPr="007D47D4">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8892D" w14:textId="77777777" w:rsidR="00AE00E2" w:rsidRPr="007D47D4" w:rsidRDefault="00AE00E2" w:rsidP="002C7140">
            <w:pPr>
              <w:jc w:val="center"/>
              <w:rPr>
                <w:b/>
              </w:rPr>
            </w:pPr>
            <w:r w:rsidRPr="007D47D4">
              <w:rPr>
                <w:b/>
              </w:rPr>
              <w:t>Rank Change</w:t>
            </w:r>
          </w:p>
        </w:tc>
        <w:tc>
          <w:tcPr>
            <w:tcW w:w="910" w:type="dxa"/>
            <w:tcBorders>
              <w:top w:val="single" w:sz="4" w:space="0" w:color="auto"/>
              <w:left w:val="nil"/>
              <w:bottom w:val="single" w:sz="4" w:space="0" w:color="auto"/>
              <w:right w:val="nil"/>
            </w:tcBorders>
            <w:shd w:val="clear" w:color="auto" w:fill="auto"/>
            <w:vAlign w:val="bottom"/>
            <w:hideMark/>
          </w:tcPr>
          <w:p w14:paraId="2C935745" w14:textId="77777777" w:rsidR="00AE00E2" w:rsidRPr="007D47D4" w:rsidRDefault="00AE00E2" w:rsidP="002C7140">
            <w:pPr>
              <w:jc w:val="center"/>
              <w:rPr>
                <w:color w:val="000000"/>
              </w:rPr>
            </w:pPr>
            <w:r w:rsidRPr="007D47D4">
              <w:rPr>
                <w:color w:val="000000"/>
              </w:rPr>
              <w:t>ROME Rank</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2B87B654" w14:textId="77777777" w:rsidR="00AE00E2" w:rsidRPr="007D47D4" w:rsidRDefault="00AE00E2" w:rsidP="002C7140">
            <w:pPr>
              <w:jc w:val="center"/>
              <w:rPr>
                <w:color w:val="000000"/>
              </w:rPr>
            </w:pPr>
            <w:r w:rsidRPr="007D47D4">
              <w:rPr>
                <w:color w:val="000000"/>
              </w:rPr>
              <w:t>ROE   Rank</w:t>
            </w:r>
          </w:p>
        </w:tc>
      </w:tr>
      <w:tr w:rsidR="00AE00E2" w:rsidRPr="007D47D4" w14:paraId="19F250EC"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5FDECD84" w14:textId="77777777" w:rsidR="00AE00E2" w:rsidRPr="007D47D4" w:rsidRDefault="00AE00E2" w:rsidP="002C7140">
            <w:pPr>
              <w:rPr>
                <w:color w:val="000000"/>
              </w:rPr>
            </w:pPr>
            <w:r w:rsidRPr="007D47D4">
              <w:rPr>
                <w:color w:val="000000"/>
              </w:rPr>
              <w:t>Transportation</w:t>
            </w:r>
          </w:p>
        </w:tc>
        <w:tc>
          <w:tcPr>
            <w:tcW w:w="1260" w:type="dxa"/>
            <w:tcBorders>
              <w:top w:val="nil"/>
              <w:left w:val="nil"/>
              <w:bottom w:val="nil"/>
              <w:right w:val="nil"/>
            </w:tcBorders>
            <w:shd w:val="clear" w:color="auto" w:fill="auto"/>
            <w:noWrap/>
            <w:vAlign w:val="bottom"/>
            <w:hideMark/>
          </w:tcPr>
          <w:p w14:paraId="017F3CBD" w14:textId="77777777" w:rsidR="00AE00E2" w:rsidRPr="007D47D4" w:rsidRDefault="00AE00E2" w:rsidP="002C7140">
            <w:pPr>
              <w:jc w:val="center"/>
              <w:rPr>
                <w:b/>
              </w:rPr>
            </w:pPr>
            <w:r w:rsidRPr="007D47D4">
              <w:rPr>
                <w:b/>
              </w:rPr>
              <w:t>0</w:t>
            </w:r>
          </w:p>
        </w:tc>
        <w:tc>
          <w:tcPr>
            <w:tcW w:w="910" w:type="dxa"/>
            <w:tcBorders>
              <w:top w:val="nil"/>
              <w:left w:val="single" w:sz="4" w:space="0" w:color="auto"/>
              <w:bottom w:val="nil"/>
              <w:right w:val="nil"/>
            </w:tcBorders>
            <w:shd w:val="clear" w:color="auto" w:fill="auto"/>
            <w:noWrap/>
            <w:vAlign w:val="bottom"/>
            <w:hideMark/>
          </w:tcPr>
          <w:p w14:paraId="0949D4D6" w14:textId="77777777" w:rsidR="00AE00E2" w:rsidRPr="007D47D4" w:rsidRDefault="00AE00E2" w:rsidP="002C7140">
            <w:pPr>
              <w:jc w:val="center"/>
              <w:rPr>
                <w:color w:val="000000"/>
              </w:rPr>
            </w:pPr>
            <w:r w:rsidRPr="007D47D4">
              <w:rPr>
                <w:color w:val="000000"/>
              </w:rPr>
              <w:t>1</w:t>
            </w:r>
          </w:p>
        </w:tc>
        <w:tc>
          <w:tcPr>
            <w:tcW w:w="840" w:type="dxa"/>
            <w:tcBorders>
              <w:top w:val="nil"/>
              <w:left w:val="nil"/>
              <w:bottom w:val="nil"/>
              <w:right w:val="single" w:sz="4" w:space="0" w:color="auto"/>
            </w:tcBorders>
            <w:shd w:val="clear" w:color="auto" w:fill="auto"/>
            <w:noWrap/>
            <w:vAlign w:val="bottom"/>
            <w:hideMark/>
          </w:tcPr>
          <w:p w14:paraId="7076D5BB" w14:textId="77777777" w:rsidR="00AE00E2" w:rsidRPr="007D47D4" w:rsidRDefault="00AE00E2" w:rsidP="002C7140">
            <w:pPr>
              <w:jc w:val="center"/>
              <w:rPr>
                <w:color w:val="000000"/>
              </w:rPr>
            </w:pPr>
            <w:r w:rsidRPr="007D47D4">
              <w:rPr>
                <w:color w:val="000000"/>
              </w:rPr>
              <w:t>1</w:t>
            </w:r>
          </w:p>
        </w:tc>
      </w:tr>
      <w:tr w:rsidR="00AE00E2" w:rsidRPr="007D47D4" w14:paraId="07981B66"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001731B3" w14:textId="77777777" w:rsidR="00AE00E2" w:rsidRPr="007D47D4" w:rsidRDefault="00AE00E2" w:rsidP="002C7140">
            <w:pPr>
              <w:rPr>
                <w:color w:val="000000"/>
              </w:rPr>
            </w:pPr>
            <w:r w:rsidRPr="007D47D4">
              <w:rPr>
                <w:color w:val="000000"/>
              </w:rPr>
              <w:t>Consumer Durables</w:t>
            </w:r>
          </w:p>
        </w:tc>
        <w:tc>
          <w:tcPr>
            <w:tcW w:w="1260" w:type="dxa"/>
            <w:tcBorders>
              <w:top w:val="nil"/>
              <w:left w:val="nil"/>
              <w:bottom w:val="nil"/>
              <w:right w:val="nil"/>
            </w:tcBorders>
            <w:shd w:val="clear" w:color="auto" w:fill="auto"/>
            <w:noWrap/>
            <w:vAlign w:val="bottom"/>
            <w:hideMark/>
          </w:tcPr>
          <w:p w14:paraId="14DA49D7" w14:textId="77777777" w:rsidR="00AE00E2" w:rsidRPr="007D47D4" w:rsidRDefault="00AE00E2" w:rsidP="002C7140">
            <w:pPr>
              <w:jc w:val="center"/>
              <w:rPr>
                <w:b/>
              </w:rPr>
            </w:pPr>
            <w:r w:rsidRPr="007D47D4">
              <w:rPr>
                <w:b/>
              </w:rPr>
              <w:t>5</w:t>
            </w:r>
          </w:p>
        </w:tc>
        <w:tc>
          <w:tcPr>
            <w:tcW w:w="910" w:type="dxa"/>
            <w:tcBorders>
              <w:top w:val="nil"/>
              <w:left w:val="single" w:sz="4" w:space="0" w:color="auto"/>
              <w:bottom w:val="nil"/>
              <w:right w:val="nil"/>
            </w:tcBorders>
            <w:shd w:val="clear" w:color="auto" w:fill="auto"/>
            <w:noWrap/>
            <w:vAlign w:val="bottom"/>
            <w:hideMark/>
          </w:tcPr>
          <w:p w14:paraId="154F7E39" w14:textId="77777777" w:rsidR="00AE00E2" w:rsidRPr="007D47D4" w:rsidRDefault="00AE00E2" w:rsidP="002C7140">
            <w:pPr>
              <w:jc w:val="center"/>
              <w:rPr>
                <w:color w:val="000000"/>
              </w:rPr>
            </w:pPr>
            <w:r w:rsidRPr="007D47D4">
              <w:rPr>
                <w:color w:val="000000"/>
              </w:rPr>
              <w:t>2</w:t>
            </w:r>
          </w:p>
        </w:tc>
        <w:tc>
          <w:tcPr>
            <w:tcW w:w="840" w:type="dxa"/>
            <w:tcBorders>
              <w:top w:val="nil"/>
              <w:left w:val="nil"/>
              <w:bottom w:val="nil"/>
              <w:right w:val="single" w:sz="4" w:space="0" w:color="auto"/>
            </w:tcBorders>
            <w:shd w:val="clear" w:color="auto" w:fill="auto"/>
            <w:noWrap/>
            <w:vAlign w:val="bottom"/>
            <w:hideMark/>
          </w:tcPr>
          <w:p w14:paraId="25AA0BEC" w14:textId="77777777" w:rsidR="00AE00E2" w:rsidRPr="007D47D4" w:rsidRDefault="00AE00E2" w:rsidP="002C7140">
            <w:pPr>
              <w:jc w:val="center"/>
              <w:rPr>
                <w:color w:val="000000"/>
              </w:rPr>
            </w:pPr>
            <w:r w:rsidRPr="007D47D4">
              <w:rPr>
                <w:color w:val="000000"/>
              </w:rPr>
              <w:t>7</w:t>
            </w:r>
          </w:p>
        </w:tc>
      </w:tr>
      <w:tr w:rsidR="00AE00E2" w:rsidRPr="007D47D4" w14:paraId="3A289709"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715FBE01" w14:textId="77777777" w:rsidR="00AE00E2" w:rsidRPr="007D47D4" w:rsidRDefault="00AE00E2" w:rsidP="002C7140">
            <w:pPr>
              <w:rPr>
                <w:color w:val="000000"/>
              </w:rPr>
            </w:pPr>
            <w:r w:rsidRPr="007D47D4">
              <w:rPr>
                <w:color w:val="000000"/>
              </w:rPr>
              <w:t>Finance</w:t>
            </w:r>
          </w:p>
        </w:tc>
        <w:tc>
          <w:tcPr>
            <w:tcW w:w="1260" w:type="dxa"/>
            <w:tcBorders>
              <w:top w:val="nil"/>
              <w:left w:val="nil"/>
              <w:bottom w:val="nil"/>
              <w:right w:val="nil"/>
            </w:tcBorders>
            <w:shd w:val="clear" w:color="auto" w:fill="auto"/>
            <w:noWrap/>
            <w:vAlign w:val="bottom"/>
            <w:hideMark/>
          </w:tcPr>
          <w:p w14:paraId="0109196D" w14:textId="77777777" w:rsidR="00AE00E2" w:rsidRPr="007D47D4" w:rsidRDefault="00AE00E2" w:rsidP="002C7140">
            <w:pPr>
              <w:jc w:val="center"/>
              <w:rPr>
                <w:b/>
              </w:rPr>
            </w:pPr>
            <w:r w:rsidRPr="007D47D4">
              <w:rPr>
                <w:b/>
              </w:rPr>
              <w:t>10</w:t>
            </w:r>
          </w:p>
        </w:tc>
        <w:tc>
          <w:tcPr>
            <w:tcW w:w="910" w:type="dxa"/>
            <w:tcBorders>
              <w:top w:val="nil"/>
              <w:left w:val="single" w:sz="4" w:space="0" w:color="auto"/>
              <w:bottom w:val="nil"/>
              <w:right w:val="nil"/>
            </w:tcBorders>
            <w:shd w:val="clear" w:color="auto" w:fill="auto"/>
            <w:noWrap/>
            <w:vAlign w:val="bottom"/>
            <w:hideMark/>
          </w:tcPr>
          <w:p w14:paraId="5521196D" w14:textId="77777777" w:rsidR="00AE00E2" w:rsidRPr="007D47D4" w:rsidRDefault="00AE00E2" w:rsidP="002C7140">
            <w:pPr>
              <w:jc w:val="center"/>
              <w:rPr>
                <w:color w:val="000000"/>
              </w:rPr>
            </w:pPr>
            <w:r w:rsidRPr="007D47D4">
              <w:rPr>
                <w:color w:val="000000"/>
              </w:rPr>
              <w:t>3</w:t>
            </w:r>
          </w:p>
        </w:tc>
        <w:tc>
          <w:tcPr>
            <w:tcW w:w="840" w:type="dxa"/>
            <w:tcBorders>
              <w:top w:val="nil"/>
              <w:left w:val="nil"/>
              <w:bottom w:val="nil"/>
              <w:right w:val="single" w:sz="4" w:space="0" w:color="auto"/>
            </w:tcBorders>
            <w:shd w:val="clear" w:color="auto" w:fill="auto"/>
            <w:noWrap/>
            <w:vAlign w:val="bottom"/>
            <w:hideMark/>
          </w:tcPr>
          <w:p w14:paraId="71D95897" w14:textId="77777777" w:rsidR="00AE00E2" w:rsidRPr="007D47D4" w:rsidRDefault="00AE00E2" w:rsidP="002C7140">
            <w:pPr>
              <w:jc w:val="center"/>
              <w:rPr>
                <w:color w:val="000000"/>
              </w:rPr>
            </w:pPr>
            <w:r w:rsidRPr="007D47D4">
              <w:rPr>
                <w:color w:val="000000"/>
              </w:rPr>
              <w:t>13</w:t>
            </w:r>
          </w:p>
        </w:tc>
      </w:tr>
      <w:tr w:rsidR="00AE00E2" w:rsidRPr="007D47D4" w14:paraId="39C19D6B"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4237099D" w14:textId="77777777" w:rsidR="00AE00E2" w:rsidRPr="007D47D4" w:rsidRDefault="00AE00E2" w:rsidP="002C7140">
            <w:pPr>
              <w:rPr>
                <w:color w:val="000000"/>
              </w:rPr>
            </w:pPr>
            <w:r w:rsidRPr="007D47D4">
              <w:rPr>
                <w:color w:val="000000"/>
              </w:rPr>
              <w:t>Electronic Technology</w:t>
            </w:r>
          </w:p>
        </w:tc>
        <w:tc>
          <w:tcPr>
            <w:tcW w:w="1260" w:type="dxa"/>
            <w:tcBorders>
              <w:top w:val="nil"/>
              <w:left w:val="nil"/>
              <w:bottom w:val="nil"/>
              <w:right w:val="nil"/>
            </w:tcBorders>
            <w:shd w:val="clear" w:color="auto" w:fill="auto"/>
            <w:noWrap/>
            <w:vAlign w:val="bottom"/>
            <w:hideMark/>
          </w:tcPr>
          <w:p w14:paraId="5478A19A" w14:textId="77777777" w:rsidR="00AE00E2" w:rsidRPr="007D47D4" w:rsidRDefault="00AE00E2" w:rsidP="002C7140">
            <w:pPr>
              <w:jc w:val="center"/>
              <w:rPr>
                <w:b/>
              </w:rPr>
            </w:pPr>
            <w:r w:rsidRPr="007D47D4">
              <w:rPr>
                <w:b/>
              </w:rPr>
              <w:t>-1</w:t>
            </w:r>
          </w:p>
        </w:tc>
        <w:tc>
          <w:tcPr>
            <w:tcW w:w="910" w:type="dxa"/>
            <w:tcBorders>
              <w:top w:val="nil"/>
              <w:left w:val="single" w:sz="4" w:space="0" w:color="auto"/>
              <w:bottom w:val="nil"/>
              <w:right w:val="nil"/>
            </w:tcBorders>
            <w:shd w:val="clear" w:color="auto" w:fill="auto"/>
            <w:noWrap/>
            <w:vAlign w:val="bottom"/>
            <w:hideMark/>
          </w:tcPr>
          <w:p w14:paraId="32DC7B6B" w14:textId="77777777" w:rsidR="00AE00E2" w:rsidRPr="007D47D4" w:rsidRDefault="00AE00E2" w:rsidP="002C7140">
            <w:pPr>
              <w:jc w:val="center"/>
              <w:rPr>
                <w:color w:val="000000"/>
              </w:rPr>
            </w:pPr>
            <w:r w:rsidRPr="007D47D4">
              <w:rPr>
                <w:color w:val="000000"/>
              </w:rPr>
              <w:t>4</w:t>
            </w:r>
          </w:p>
        </w:tc>
        <w:tc>
          <w:tcPr>
            <w:tcW w:w="840" w:type="dxa"/>
            <w:tcBorders>
              <w:top w:val="nil"/>
              <w:left w:val="nil"/>
              <w:bottom w:val="nil"/>
              <w:right w:val="single" w:sz="4" w:space="0" w:color="auto"/>
            </w:tcBorders>
            <w:shd w:val="clear" w:color="auto" w:fill="auto"/>
            <w:noWrap/>
            <w:vAlign w:val="bottom"/>
            <w:hideMark/>
          </w:tcPr>
          <w:p w14:paraId="4F7795FB" w14:textId="77777777" w:rsidR="00AE00E2" w:rsidRPr="007D47D4" w:rsidRDefault="00AE00E2" w:rsidP="002C7140">
            <w:pPr>
              <w:jc w:val="center"/>
              <w:rPr>
                <w:color w:val="000000"/>
              </w:rPr>
            </w:pPr>
            <w:r w:rsidRPr="007D47D4">
              <w:rPr>
                <w:color w:val="000000"/>
              </w:rPr>
              <w:t>3</w:t>
            </w:r>
          </w:p>
        </w:tc>
      </w:tr>
      <w:tr w:rsidR="00AE00E2" w:rsidRPr="007D47D4" w14:paraId="3810EBD3"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53C0E68A" w14:textId="77777777" w:rsidR="00AE00E2" w:rsidRPr="007D47D4" w:rsidRDefault="00AE00E2" w:rsidP="002C7140">
            <w:pPr>
              <w:rPr>
                <w:color w:val="000000"/>
              </w:rPr>
            </w:pPr>
            <w:r w:rsidRPr="007D47D4">
              <w:rPr>
                <w:color w:val="000000"/>
              </w:rPr>
              <w:t>Process Industries</w:t>
            </w:r>
          </w:p>
        </w:tc>
        <w:tc>
          <w:tcPr>
            <w:tcW w:w="1260" w:type="dxa"/>
            <w:tcBorders>
              <w:top w:val="nil"/>
              <w:left w:val="nil"/>
              <w:bottom w:val="nil"/>
              <w:right w:val="nil"/>
            </w:tcBorders>
            <w:shd w:val="clear" w:color="auto" w:fill="auto"/>
            <w:noWrap/>
            <w:vAlign w:val="bottom"/>
            <w:hideMark/>
          </w:tcPr>
          <w:p w14:paraId="2A591FB7" w14:textId="77777777" w:rsidR="00AE00E2" w:rsidRPr="007D47D4" w:rsidRDefault="00AE00E2" w:rsidP="002C7140">
            <w:pPr>
              <w:jc w:val="center"/>
              <w:rPr>
                <w:b/>
              </w:rPr>
            </w:pPr>
            <w:r w:rsidRPr="007D47D4">
              <w:rPr>
                <w:b/>
              </w:rPr>
              <w:t>0</w:t>
            </w:r>
          </w:p>
        </w:tc>
        <w:tc>
          <w:tcPr>
            <w:tcW w:w="910" w:type="dxa"/>
            <w:tcBorders>
              <w:top w:val="nil"/>
              <w:left w:val="single" w:sz="4" w:space="0" w:color="auto"/>
              <w:bottom w:val="nil"/>
              <w:right w:val="nil"/>
            </w:tcBorders>
            <w:shd w:val="clear" w:color="auto" w:fill="auto"/>
            <w:noWrap/>
            <w:vAlign w:val="bottom"/>
            <w:hideMark/>
          </w:tcPr>
          <w:p w14:paraId="38227251" w14:textId="77777777" w:rsidR="00AE00E2" w:rsidRPr="007D47D4" w:rsidRDefault="00AE00E2" w:rsidP="002C7140">
            <w:pPr>
              <w:jc w:val="center"/>
              <w:rPr>
                <w:color w:val="000000"/>
              </w:rPr>
            </w:pPr>
            <w:r w:rsidRPr="007D47D4">
              <w:rPr>
                <w:color w:val="000000"/>
              </w:rPr>
              <w:t>5</w:t>
            </w:r>
          </w:p>
        </w:tc>
        <w:tc>
          <w:tcPr>
            <w:tcW w:w="840" w:type="dxa"/>
            <w:tcBorders>
              <w:top w:val="nil"/>
              <w:left w:val="nil"/>
              <w:bottom w:val="nil"/>
              <w:right w:val="single" w:sz="4" w:space="0" w:color="auto"/>
            </w:tcBorders>
            <w:shd w:val="clear" w:color="auto" w:fill="auto"/>
            <w:noWrap/>
            <w:vAlign w:val="bottom"/>
            <w:hideMark/>
          </w:tcPr>
          <w:p w14:paraId="1C88682B" w14:textId="77777777" w:rsidR="00AE00E2" w:rsidRPr="007D47D4" w:rsidRDefault="00AE00E2" w:rsidP="002C7140">
            <w:pPr>
              <w:jc w:val="center"/>
              <w:rPr>
                <w:color w:val="000000"/>
              </w:rPr>
            </w:pPr>
            <w:r w:rsidRPr="007D47D4">
              <w:rPr>
                <w:color w:val="000000"/>
              </w:rPr>
              <w:t>5</w:t>
            </w:r>
          </w:p>
        </w:tc>
      </w:tr>
      <w:tr w:rsidR="00AE00E2" w:rsidRPr="007D47D4" w14:paraId="64595FBD"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7C33CBF3" w14:textId="77777777" w:rsidR="00AE00E2" w:rsidRPr="007D47D4" w:rsidRDefault="00AE00E2" w:rsidP="002C7140">
            <w:pPr>
              <w:rPr>
                <w:color w:val="000000"/>
              </w:rPr>
            </w:pPr>
            <w:r w:rsidRPr="007D47D4">
              <w:rPr>
                <w:color w:val="000000"/>
              </w:rPr>
              <w:t>Utilities</w:t>
            </w:r>
          </w:p>
        </w:tc>
        <w:tc>
          <w:tcPr>
            <w:tcW w:w="1260" w:type="dxa"/>
            <w:tcBorders>
              <w:top w:val="nil"/>
              <w:left w:val="nil"/>
              <w:bottom w:val="nil"/>
              <w:right w:val="nil"/>
            </w:tcBorders>
            <w:shd w:val="clear" w:color="auto" w:fill="auto"/>
            <w:noWrap/>
            <w:vAlign w:val="bottom"/>
            <w:hideMark/>
          </w:tcPr>
          <w:p w14:paraId="6A24225C" w14:textId="77777777" w:rsidR="00AE00E2" w:rsidRPr="007D47D4" w:rsidRDefault="00AE00E2" w:rsidP="002C7140">
            <w:pPr>
              <w:jc w:val="center"/>
              <w:rPr>
                <w:b/>
              </w:rPr>
            </w:pPr>
            <w:r w:rsidRPr="007D47D4">
              <w:rPr>
                <w:b/>
              </w:rPr>
              <w:t>6</w:t>
            </w:r>
          </w:p>
        </w:tc>
        <w:tc>
          <w:tcPr>
            <w:tcW w:w="910" w:type="dxa"/>
            <w:tcBorders>
              <w:top w:val="nil"/>
              <w:left w:val="single" w:sz="4" w:space="0" w:color="auto"/>
              <w:bottom w:val="nil"/>
              <w:right w:val="nil"/>
            </w:tcBorders>
            <w:shd w:val="clear" w:color="auto" w:fill="auto"/>
            <w:noWrap/>
            <w:vAlign w:val="bottom"/>
            <w:hideMark/>
          </w:tcPr>
          <w:p w14:paraId="074711A5" w14:textId="77777777" w:rsidR="00AE00E2" w:rsidRPr="007D47D4" w:rsidRDefault="00AE00E2" w:rsidP="002C7140">
            <w:pPr>
              <w:jc w:val="center"/>
              <w:rPr>
                <w:color w:val="000000"/>
              </w:rPr>
            </w:pPr>
            <w:r w:rsidRPr="007D47D4">
              <w:rPr>
                <w:color w:val="000000"/>
              </w:rPr>
              <w:t>6</w:t>
            </w:r>
          </w:p>
        </w:tc>
        <w:tc>
          <w:tcPr>
            <w:tcW w:w="840" w:type="dxa"/>
            <w:tcBorders>
              <w:top w:val="nil"/>
              <w:left w:val="nil"/>
              <w:bottom w:val="nil"/>
              <w:right w:val="single" w:sz="4" w:space="0" w:color="auto"/>
            </w:tcBorders>
            <w:shd w:val="clear" w:color="auto" w:fill="auto"/>
            <w:noWrap/>
            <w:vAlign w:val="bottom"/>
            <w:hideMark/>
          </w:tcPr>
          <w:p w14:paraId="4C7CA1D6" w14:textId="77777777" w:rsidR="00AE00E2" w:rsidRPr="007D47D4" w:rsidRDefault="00AE00E2" w:rsidP="002C7140">
            <w:pPr>
              <w:jc w:val="center"/>
              <w:rPr>
                <w:color w:val="000000"/>
              </w:rPr>
            </w:pPr>
            <w:r w:rsidRPr="007D47D4">
              <w:rPr>
                <w:color w:val="000000"/>
              </w:rPr>
              <w:t>12</w:t>
            </w:r>
          </w:p>
        </w:tc>
      </w:tr>
      <w:tr w:rsidR="00AE00E2" w:rsidRPr="007D47D4" w14:paraId="78125BFC"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53BABD0F" w14:textId="77777777" w:rsidR="00AE00E2" w:rsidRPr="007D47D4" w:rsidRDefault="00AE00E2" w:rsidP="002C7140">
            <w:pPr>
              <w:rPr>
                <w:color w:val="000000"/>
              </w:rPr>
            </w:pPr>
            <w:r w:rsidRPr="007D47D4">
              <w:rPr>
                <w:color w:val="000000"/>
              </w:rPr>
              <w:t>Producer Manufacturing</w:t>
            </w:r>
          </w:p>
        </w:tc>
        <w:tc>
          <w:tcPr>
            <w:tcW w:w="1260" w:type="dxa"/>
            <w:tcBorders>
              <w:top w:val="nil"/>
              <w:left w:val="nil"/>
              <w:bottom w:val="nil"/>
              <w:right w:val="nil"/>
            </w:tcBorders>
            <w:shd w:val="clear" w:color="auto" w:fill="auto"/>
            <w:noWrap/>
            <w:vAlign w:val="bottom"/>
            <w:hideMark/>
          </w:tcPr>
          <w:p w14:paraId="3DF3DBC4" w14:textId="77777777" w:rsidR="00AE00E2" w:rsidRPr="007D47D4" w:rsidRDefault="00AE00E2" w:rsidP="002C7140">
            <w:pPr>
              <w:jc w:val="center"/>
              <w:rPr>
                <w:b/>
              </w:rPr>
            </w:pPr>
            <w:r w:rsidRPr="007D47D4">
              <w:rPr>
                <w:b/>
              </w:rPr>
              <w:t>4</w:t>
            </w:r>
          </w:p>
        </w:tc>
        <w:tc>
          <w:tcPr>
            <w:tcW w:w="910" w:type="dxa"/>
            <w:tcBorders>
              <w:top w:val="nil"/>
              <w:left w:val="single" w:sz="4" w:space="0" w:color="auto"/>
              <w:bottom w:val="nil"/>
              <w:right w:val="nil"/>
            </w:tcBorders>
            <w:shd w:val="clear" w:color="auto" w:fill="auto"/>
            <w:noWrap/>
            <w:vAlign w:val="bottom"/>
            <w:hideMark/>
          </w:tcPr>
          <w:p w14:paraId="4F42B695" w14:textId="77777777" w:rsidR="00AE00E2" w:rsidRPr="007D47D4" w:rsidRDefault="00AE00E2" w:rsidP="002C7140">
            <w:pPr>
              <w:jc w:val="center"/>
              <w:rPr>
                <w:color w:val="000000"/>
              </w:rPr>
            </w:pPr>
            <w:r w:rsidRPr="007D47D4">
              <w:rPr>
                <w:color w:val="000000"/>
              </w:rPr>
              <w:t>7</w:t>
            </w:r>
          </w:p>
        </w:tc>
        <w:tc>
          <w:tcPr>
            <w:tcW w:w="840" w:type="dxa"/>
            <w:tcBorders>
              <w:top w:val="nil"/>
              <w:left w:val="nil"/>
              <w:bottom w:val="nil"/>
              <w:right w:val="single" w:sz="4" w:space="0" w:color="auto"/>
            </w:tcBorders>
            <w:shd w:val="clear" w:color="auto" w:fill="auto"/>
            <w:noWrap/>
            <w:vAlign w:val="bottom"/>
            <w:hideMark/>
          </w:tcPr>
          <w:p w14:paraId="4D635DCD" w14:textId="77777777" w:rsidR="00AE00E2" w:rsidRPr="007D47D4" w:rsidRDefault="00AE00E2" w:rsidP="002C7140">
            <w:pPr>
              <w:jc w:val="center"/>
              <w:rPr>
                <w:color w:val="000000"/>
              </w:rPr>
            </w:pPr>
            <w:r w:rsidRPr="007D47D4">
              <w:rPr>
                <w:color w:val="000000"/>
              </w:rPr>
              <w:t>11</w:t>
            </w:r>
          </w:p>
        </w:tc>
      </w:tr>
      <w:tr w:rsidR="00AE00E2" w:rsidRPr="007D47D4" w14:paraId="5EF45251"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735FBC91" w14:textId="77777777" w:rsidR="00AE00E2" w:rsidRPr="007D47D4" w:rsidRDefault="00AE00E2" w:rsidP="002C7140">
            <w:pPr>
              <w:rPr>
                <w:color w:val="000000"/>
              </w:rPr>
            </w:pPr>
            <w:r w:rsidRPr="007D47D4">
              <w:rPr>
                <w:color w:val="000000"/>
              </w:rPr>
              <w:t>Industrial Services</w:t>
            </w:r>
          </w:p>
        </w:tc>
        <w:tc>
          <w:tcPr>
            <w:tcW w:w="1260" w:type="dxa"/>
            <w:tcBorders>
              <w:top w:val="nil"/>
              <w:left w:val="nil"/>
              <w:bottom w:val="nil"/>
              <w:right w:val="nil"/>
            </w:tcBorders>
            <w:shd w:val="clear" w:color="auto" w:fill="auto"/>
            <w:noWrap/>
            <w:vAlign w:val="bottom"/>
            <w:hideMark/>
          </w:tcPr>
          <w:p w14:paraId="3AD207C7" w14:textId="77777777" w:rsidR="00AE00E2" w:rsidRPr="007D47D4" w:rsidRDefault="00AE00E2" w:rsidP="002C7140">
            <w:pPr>
              <w:jc w:val="center"/>
              <w:rPr>
                <w:b/>
              </w:rPr>
            </w:pPr>
            <w:r w:rsidRPr="007D47D4">
              <w:rPr>
                <w:b/>
              </w:rPr>
              <w:t>7</w:t>
            </w:r>
          </w:p>
        </w:tc>
        <w:tc>
          <w:tcPr>
            <w:tcW w:w="910" w:type="dxa"/>
            <w:tcBorders>
              <w:top w:val="nil"/>
              <w:left w:val="single" w:sz="4" w:space="0" w:color="auto"/>
              <w:bottom w:val="nil"/>
              <w:right w:val="nil"/>
            </w:tcBorders>
            <w:shd w:val="clear" w:color="auto" w:fill="auto"/>
            <w:noWrap/>
            <w:vAlign w:val="bottom"/>
            <w:hideMark/>
          </w:tcPr>
          <w:p w14:paraId="268135EF" w14:textId="77777777" w:rsidR="00AE00E2" w:rsidRPr="007D47D4" w:rsidRDefault="00AE00E2" w:rsidP="002C7140">
            <w:pPr>
              <w:jc w:val="center"/>
              <w:rPr>
                <w:color w:val="000000"/>
              </w:rPr>
            </w:pPr>
            <w:r w:rsidRPr="007D47D4">
              <w:rPr>
                <w:color w:val="000000"/>
              </w:rPr>
              <w:t>8</w:t>
            </w:r>
          </w:p>
        </w:tc>
        <w:tc>
          <w:tcPr>
            <w:tcW w:w="840" w:type="dxa"/>
            <w:tcBorders>
              <w:top w:val="nil"/>
              <w:left w:val="nil"/>
              <w:bottom w:val="nil"/>
              <w:right w:val="single" w:sz="4" w:space="0" w:color="auto"/>
            </w:tcBorders>
            <w:shd w:val="clear" w:color="auto" w:fill="auto"/>
            <w:noWrap/>
            <w:vAlign w:val="bottom"/>
            <w:hideMark/>
          </w:tcPr>
          <w:p w14:paraId="45FEE718" w14:textId="77777777" w:rsidR="00AE00E2" w:rsidRPr="007D47D4" w:rsidRDefault="00AE00E2" w:rsidP="002C7140">
            <w:pPr>
              <w:jc w:val="center"/>
              <w:rPr>
                <w:color w:val="000000"/>
              </w:rPr>
            </w:pPr>
            <w:r w:rsidRPr="007D47D4">
              <w:rPr>
                <w:color w:val="000000"/>
              </w:rPr>
              <w:t>15</w:t>
            </w:r>
          </w:p>
        </w:tc>
      </w:tr>
      <w:tr w:rsidR="00AE00E2" w:rsidRPr="007D47D4" w14:paraId="34926280" w14:textId="77777777" w:rsidTr="00937E13">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5E06DC05" w14:textId="77777777" w:rsidR="00AE00E2" w:rsidRPr="007D47D4" w:rsidRDefault="00AE00E2" w:rsidP="002C7140">
            <w:pPr>
              <w:rPr>
                <w:color w:val="000000"/>
              </w:rPr>
            </w:pPr>
            <w:r w:rsidRPr="007D47D4">
              <w:rPr>
                <w:color w:val="000000"/>
              </w:rPr>
              <w:t>Consumer Non-Durables</w:t>
            </w:r>
          </w:p>
        </w:tc>
        <w:tc>
          <w:tcPr>
            <w:tcW w:w="1260" w:type="dxa"/>
            <w:tcBorders>
              <w:top w:val="nil"/>
              <w:left w:val="nil"/>
              <w:bottom w:val="nil"/>
              <w:right w:val="nil"/>
            </w:tcBorders>
            <w:shd w:val="clear" w:color="auto" w:fill="auto"/>
            <w:noWrap/>
            <w:vAlign w:val="bottom"/>
            <w:hideMark/>
          </w:tcPr>
          <w:p w14:paraId="4833898D" w14:textId="77777777" w:rsidR="00AE00E2" w:rsidRPr="007D47D4" w:rsidRDefault="00AE00E2" w:rsidP="002C7140">
            <w:pPr>
              <w:jc w:val="center"/>
              <w:rPr>
                <w:b/>
              </w:rPr>
            </w:pPr>
            <w:r w:rsidRPr="007D47D4">
              <w:rPr>
                <w:b/>
              </w:rPr>
              <w:t>-7</w:t>
            </w:r>
          </w:p>
        </w:tc>
        <w:tc>
          <w:tcPr>
            <w:tcW w:w="910" w:type="dxa"/>
            <w:tcBorders>
              <w:top w:val="nil"/>
              <w:left w:val="single" w:sz="4" w:space="0" w:color="auto"/>
              <w:bottom w:val="nil"/>
              <w:right w:val="nil"/>
            </w:tcBorders>
            <w:shd w:val="clear" w:color="auto" w:fill="auto"/>
            <w:noWrap/>
            <w:vAlign w:val="bottom"/>
            <w:hideMark/>
          </w:tcPr>
          <w:p w14:paraId="7C30C8FA" w14:textId="77777777" w:rsidR="00AE00E2" w:rsidRPr="007D47D4" w:rsidRDefault="00AE00E2" w:rsidP="002C7140">
            <w:pPr>
              <w:jc w:val="center"/>
              <w:rPr>
                <w:color w:val="000000"/>
              </w:rPr>
            </w:pPr>
            <w:r w:rsidRPr="007D47D4">
              <w:rPr>
                <w:color w:val="000000"/>
              </w:rPr>
              <w:t>9</w:t>
            </w:r>
          </w:p>
        </w:tc>
        <w:tc>
          <w:tcPr>
            <w:tcW w:w="840" w:type="dxa"/>
            <w:tcBorders>
              <w:top w:val="nil"/>
              <w:left w:val="nil"/>
              <w:bottom w:val="nil"/>
              <w:right w:val="single" w:sz="4" w:space="0" w:color="auto"/>
            </w:tcBorders>
            <w:shd w:val="clear" w:color="auto" w:fill="auto"/>
            <w:noWrap/>
            <w:vAlign w:val="bottom"/>
            <w:hideMark/>
          </w:tcPr>
          <w:p w14:paraId="769B0817" w14:textId="77777777" w:rsidR="00AE00E2" w:rsidRPr="007D47D4" w:rsidRDefault="00AE00E2" w:rsidP="002C7140">
            <w:pPr>
              <w:jc w:val="center"/>
              <w:rPr>
                <w:color w:val="000000"/>
              </w:rPr>
            </w:pPr>
            <w:r w:rsidRPr="007D47D4">
              <w:rPr>
                <w:color w:val="000000"/>
              </w:rPr>
              <w:t>2</w:t>
            </w:r>
          </w:p>
        </w:tc>
      </w:tr>
      <w:tr w:rsidR="00AE00E2" w:rsidRPr="007D47D4" w14:paraId="60855AD7" w14:textId="77777777" w:rsidTr="00937E13">
        <w:trPr>
          <w:trHeight w:val="300"/>
        </w:trPr>
        <w:tc>
          <w:tcPr>
            <w:tcW w:w="3795" w:type="dxa"/>
            <w:tcBorders>
              <w:top w:val="nil"/>
              <w:left w:val="single" w:sz="4" w:space="0" w:color="auto"/>
              <w:right w:val="single" w:sz="4" w:space="0" w:color="auto"/>
            </w:tcBorders>
            <w:shd w:val="clear" w:color="auto" w:fill="auto"/>
            <w:noWrap/>
            <w:vAlign w:val="bottom"/>
            <w:hideMark/>
          </w:tcPr>
          <w:p w14:paraId="6ED9A3FC" w14:textId="77777777" w:rsidR="00AE00E2" w:rsidRPr="007D47D4" w:rsidRDefault="00AE00E2" w:rsidP="002C7140">
            <w:pPr>
              <w:rPr>
                <w:color w:val="000000"/>
              </w:rPr>
            </w:pPr>
            <w:r w:rsidRPr="007D47D4">
              <w:rPr>
                <w:color w:val="000000"/>
              </w:rPr>
              <w:t>Consumer Services</w:t>
            </w:r>
          </w:p>
        </w:tc>
        <w:tc>
          <w:tcPr>
            <w:tcW w:w="1260" w:type="dxa"/>
            <w:tcBorders>
              <w:top w:val="nil"/>
              <w:left w:val="nil"/>
              <w:right w:val="nil"/>
            </w:tcBorders>
            <w:shd w:val="clear" w:color="auto" w:fill="auto"/>
            <w:noWrap/>
            <w:vAlign w:val="bottom"/>
            <w:hideMark/>
          </w:tcPr>
          <w:p w14:paraId="2E74F26F" w14:textId="77777777" w:rsidR="00AE00E2" w:rsidRPr="007D47D4" w:rsidRDefault="00AE00E2" w:rsidP="002C7140">
            <w:pPr>
              <w:jc w:val="center"/>
              <w:rPr>
                <w:b/>
              </w:rPr>
            </w:pPr>
            <w:r w:rsidRPr="007D47D4">
              <w:rPr>
                <w:b/>
              </w:rPr>
              <w:t>-4</w:t>
            </w:r>
          </w:p>
        </w:tc>
        <w:tc>
          <w:tcPr>
            <w:tcW w:w="910" w:type="dxa"/>
            <w:tcBorders>
              <w:top w:val="nil"/>
              <w:left w:val="single" w:sz="4" w:space="0" w:color="auto"/>
              <w:right w:val="nil"/>
            </w:tcBorders>
            <w:shd w:val="clear" w:color="auto" w:fill="auto"/>
            <w:noWrap/>
            <w:vAlign w:val="bottom"/>
            <w:hideMark/>
          </w:tcPr>
          <w:p w14:paraId="578557C7" w14:textId="77777777" w:rsidR="00AE00E2" w:rsidRPr="007D47D4" w:rsidRDefault="00AE00E2" w:rsidP="002C7140">
            <w:pPr>
              <w:jc w:val="center"/>
              <w:rPr>
                <w:color w:val="000000"/>
              </w:rPr>
            </w:pPr>
            <w:r w:rsidRPr="007D47D4">
              <w:rPr>
                <w:color w:val="000000"/>
              </w:rPr>
              <w:t>10</w:t>
            </w:r>
          </w:p>
        </w:tc>
        <w:tc>
          <w:tcPr>
            <w:tcW w:w="840" w:type="dxa"/>
            <w:tcBorders>
              <w:top w:val="nil"/>
              <w:left w:val="nil"/>
              <w:right w:val="single" w:sz="4" w:space="0" w:color="auto"/>
            </w:tcBorders>
            <w:shd w:val="clear" w:color="auto" w:fill="auto"/>
            <w:noWrap/>
            <w:vAlign w:val="bottom"/>
            <w:hideMark/>
          </w:tcPr>
          <w:p w14:paraId="318543C3" w14:textId="77777777" w:rsidR="00AE00E2" w:rsidRPr="007D47D4" w:rsidRDefault="00AE00E2" w:rsidP="002C7140">
            <w:pPr>
              <w:jc w:val="center"/>
              <w:rPr>
                <w:color w:val="000000"/>
              </w:rPr>
            </w:pPr>
            <w:r w:rsidRPr="007D47D4">
              <w:rPr>
                <w:color w:val="000000"/>
              </w:rPr>
              <w:t>6</w:t>
            </w:r>
          </w:p>
        </w:tc>
      </w:tr>
      <w:tr w:rsidR="00AE00E2" w:rsidRPr="007D47D4" w14:paraId="23ED3D82" w14:textId="77777777" w:rsidTr="00937E13">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76FAE37C" w14:textId="77777777" w:rsidR="00AE00E2" w:rsidRPr="007D47D4" w:rsidRDefault="00AE00E2" w:rsidP="002C7140">
            <w:pPr>
              <w:rPr>
                <w:color w:val="000000"/>
              </w:rPr>
            </w:pPr>
            <w:r w:rsidRPr="007D47D4">
              <w:rPr>
                <w:color w:val="000000"/>
              </w:rPr>
              <w:t>Retail Trade</w:t>
            </w:r>
          </w:p>
        </w:tc>
        <w:tc>
          <w:tcPr>
            <w:tcW w:w="1260" w:type="dxa"/>
            <w:tcBorders>
              <w:top w:val="nil"/>
              <w:left w:val="nil"/>
              <w:bottom w:val="single" w:sz="4" w:space="0" w:color="auto"/>
              <w:right w:val="nil"/>
            </w:tcBorders>
            <w:shd w:val="clear" w:color="auto" w:fill="auto"/>
            <w:noWrap/>
            <w:vAlign w:val="bottom"/>
            <w:hideMark/>
          </w:tcPr>
          <w:p w14:paraId="11F61625" w14:textId="77777777" w:rsidR="00AE00E2" w:rsidRPr="007D47D4" w:rsidRDefault="00AE00E2" w:rsidP="002C7140">
            <w:pPr>
              <w:jc w:val="center"/>
              <w:rPr>
                <w:b/>
              </w:rPr>
            </w:pPr>
            <w:r w:rsidRPr="007D47D4">
              <w:rPr>
                <w:b/>
              </w:rPr>
              <w:t>-7</w:t>
            </w:r>
          </w:p>
        </w:tc>
        <w:tc>
          <w:tcPr>
            <w:tcW w:w="910" w:type="dxa"/>
            <w:tcBorders>
              <w:top w:val="nil"/>
              <w:left w:val="single" w:sz="4" w:space="0" w:color="auto"/>
              <w:bottom w:val="single" w:sz="4" w:space="0" w:color="auto"/>
              <w:right w:val="nil"/>
            </w:tcBorders>
            <w:shd w:val="clear" w:color="auto" w:fill="auto"/>
            <w:noWrap/>
            <w:vAlign w:val="bottom"/>
            <w:hideMark/>
          </w:tcPr>
          <w:p w14:paraId="28BC33ED" w14:textId="77777777" w:rsidR="00AE00E2" w:rsidRPr="007D47D4" w:rsidRDefault="00AE00E2" w:rsidP="002C7140">
            <w:pPr>
              <w:jc w:val="center"/>
              <w:rPr>
                <w:color w:val="000000"/>
              </w:rPr>
            </w:pPr>
            <w:r w:rsidRPr="007D47D4">
              <w:rPr>
                <w:color w:val="000000"/>
              </w:rPr>
              <w:t>11</w:t>
            </w:r>
          </w:p>
        </w:tc>
        <w:tc>
          <w:tcPr>
            <w:tcW w:w="840" w:type="dxa"/>
            <w:tcBorders>
              <w:top w:val="nil"/>
              <w:left w:val="nil"/>
              <w:bottom w:val="single" w:sz="4" w:space="0" w:color="auto"/>
              <w:right w:val="single" w:sz="4" w:space="0" w:color="auto"/>
            </w:tcBorders>
            <w:shd w:val="clear" w:color="auto" w:fill="auto"/>
            <w:noWrap/>
            <w:vAlign w:val="bottom"/>
            <w:hideMark/>
          </w:tcPr>
          <w:p w14:paraId="5720E490" w14:textId="77777777" w:rsidR="00AE00E2" w:rsidRPr="007D47D4" w:rsidRDefault="00AE00E2" w:rsidP="002C7140">
            <w:pPr>
              <w:jc w:val="center"/>
              <w:rPr>
                <w:color w:val="000000"/>
              </w:rPr>
            </w:pPr>
            <w:r w:rsidRPr="007D47D4">
              <w:rPr>
                <w:color w:val="000000"/>
              </w:rPr>
              <w:t>4</w:t>
            </w:r>
          </w:p>
        </w:tc>
      </w:tr>
    </w:tbl>
    <w:p w14:paraId="03C06A5D" w14:textId="77777777" w:rsidR="00C11C22" w:rsidRDefault="00C11C22" w:rsidP="00FB05CD">
      <w:pPr>
        <w:keepNext/>
        <w:keepLines/>
        <w:jc w:val="both"/>
        <w:outlineLvl w:val="0"/>
        <w:rPr>
          <w:b/>
          <w:bCs/>
          <w:kern w:val="32"/>
        </w:rPr>
      </w:pPr>
    </w:p>
    <w:p w14:paraId="025EF179" w14:textId="156F0FBE" w:rsidR="00937E13" w:rsidRPr="007D47D4" w:rsidRDefault="00937E13" w:rsidP="00937E13">
      <w:pPr>
        <w:keepNext/>
        <w:keepLines/>
        <w:jc w:val="center"/>
        <w:outlineLvl w:val="0"/>
        <w:rPr>
          <w:bCs/>
          <w:i/>
          <w:kern w:val="32"/>
        </w:rPr>
      </w:pPr>
      <w:r w:rsidRPr="007D47D4">
        <w:rPr>
          <w:b/>
          <w:bCs/>
          <w:color w:val="000000"/>
        </w:rPr>
        <w:t>Table 4: Industry Sector Rank Changes for ROME versus ROE</w:t>
      </w:r>
      <w:r>
        <w:rPr>
          <w:b/>
          <w:bCs/>
          <w:color w:val="000000"/>
        </w:rPr>
        <w:t xml:space="preserve"> (continued)</w:t>
      </w:r>
    </w:p>
    <w:p w14:paraId="4C2AB0B7" w14:textId="77777777" w:rsidR="00937E13" w:rsidRPr="007D47D4" w:rsidRDefault="00937E13" w:rsidP="00937E13">
      <w:pPr>
        <w:keepNext/>
        <w:keepLines/>
        <w:outlineLvl w:val="0"/>
        <w:rPr>
          <w:b/>
          <w:bCs/>
          <w:kern w:val="32"/>
        </w:rPr>
      </w:pPr>
    </w:p>
    <w:tbl>
      <w:tblPr>
        <w:tblW w:w="6805" w:type="dxa"/>
        <w:tblInd w:w="93" w:type="dxa"/>
        <w:tblLook w:val="04A0" w:firstRow="1" w:lastRow="0" w:firstColumn="1" w:lastColumn="0" w:noHBand="0" w:noVBand="1"/>
      </w:tblPr>
      <w:tblGrid>
        <w:gridCol w:w="3795"/>
        <w:gridCol w:w="1260"/>
        <w:gridCol w:w="910"/>
        <w:gridCol w:w="840"/>
      </w:tblGrid>
      <w:tr w:rsidR="00937E13" w:rsidRPr="007D47D4" w14:paraId="0E425820" w14:textId="77777777" w:rsidTr="00781C1C">
        <w:trPr>
          <w:trHeight w:val="585"/>
        </w:trPr>
        <w:tc>
          <w:tcPr>
            <w:tcW w:w="3795" w:type="dxa"/>
            <w:tcBorders>
              <w:top w:val="single" w:sz="4" w:space="0" w:color="auto"/>
              <w:left w:val="single" w:sz="4" w:space="0" w:color="auto"/>
              <w:bottom w:val="single" w:sz="4" w:space="0" w:color="auto"/>
              <w:right w:val="nil"/>
            </w:tcBorders>
            <w:shd w:val="clear" w:color="auto" w:fill="auto"/>
            <w:noWrap/>
            <w:vAlign w:val="bottom"/>
            <w:hideMark/>
          </w:tcPr>
          <w:p w14:paraId="1CCA3054" w14:textId="77777777" w:rsidR="00937E13" w:rsidRPr="007D47D4" w:rsidRDefault="00937E13" w:rsidP="002C7140">
            <w:pPr>
              <w:rPr>
                <w:color w:val="000000"/>
              </w:rPr>
            </w:pPr>
            <w:r w:rsidRPr="007D47D4">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CC3CF" w14:textId="77777777" w:rsidR="00937E13" w:rsidRPr="007D47D4" w:rsidRDefault="00937E13" w:rsidP="002C7140">
            <w:pPr>
              <w:jc w:val="center"/>
              <w:rPr>
                <w:b/>
              </w:rPr>
            </w:pPr>
            <w:r w:rsidRPr="007D47D4">
              <w:rPr>
                <w:b/>
              </w:rPr>
              <w:t>Rank Change</w:t>
            </w:r>
          </w:p>
        </w:tc>
        <w:tc>
          <w:tcPr>
            <w:tcW w:w="910" w:type="dxa"/>
            <w:tcBorders>
              <w:top w:val="single" w:sz="4" w:space="0" w:color="auto"/>
              <w:left w:val="nil"/>
              <w:bottom w:val="single" w:sz="4" w:space="0" w:color="auto"/>
              <w:right w:val="nil"/>
            </w:tcBorders>
            <w:shd w:val="clear" w:color="auto" w:fill="auto"/>
            <w:vAlign w:val="bottom"/>
            <w:hideMark/>
          </w:tcPr>
          <w:p w14:paraId="65E0A600" w14:textId="77777777" w:rsidR="00937E13" w:rsidRPr="007D47D4" w:rsidRDefault="00937E13" w:rsidP="002C7140">
            <w:pPr>
              <w:jc w:val="center"/>
              <w:rPr>
                <w:color w:val="000000"/>
              </w:rPr>
            </w:pPr>
            <w:r w:rsidRPr="007D47D4">
              <w:rPr>
                <w:color w:val="000000"/>
              </w:rPr>
              <w:t>ROME Rank</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764D4AFA" w14:textId="77777777" w:rsidR="00937E13" w:rsidRPr="007D47D4" w:rsidRDefault="00937E13" w:rsidP="002C7140">
            <w:pPr>
              <w:jc w:val="center"/>
              <w:rPr>
                <w:color w:val="000000"/>
              </w:rPr>
            </w:pPr>
            <w:r w:rsidRPr="007D47D4">
              <w:rPr>
                <w:color w:val="000000"/>
              </w:rPr>
              <w:t>ROE   Rank</w:t>
            </w:r>
          </w:p>
        </w:tc>
      </w:tr>
      <w:tr w:rsidR="00937E13" w:rsidRPr="007D47D4" w14:paraId="4942BEB4" w14:textId="77777777" w:rsidTr="00781C1C">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58240FEF" w14:textId="77777777" w:rsidR="00937E13" w:rsidRPr="007D47D4" w:rsidRDefault="00937E13" w:rsidP="002C7140">
            <w:pPr>
              <w:rPr>
                <w:color w:val="000000"/>
              </w:rPr>
            </w:pPr>
            <w:r w:rsidRPr="007D47D4">
              <w:rPr>
                <w:color w:val="000000"/>
              </w:rPr>
              <w:t>Commercial &amp; Distribution Services</w:t>
            </w:r>
          </w:p>
        </w:tc>
        <w:tc>
          <w:tcPr>
            <w:tcW w:w="1260" w:type="dxa"/>
            <w:tcBorders>
              <w:top w:val="nil"/>
              <w:left w:val="nil"/>
              <w:bottom w:val="nil"/>
              <w:right w:val="nil"/>
            </w:tcBorders>
            <w:shd w:val="clear" w:color="auto" w:fill="auto"/>
            <w:noWrap/>
            <w:vAlign w:val="bottom"/>
            <w:hideMark/>
          </w:tcPr>
          <w:p w14:paraId="7A841D36" w14:textId="77777777" w:rsidR="00937E13" w:rsidRPr="007D47D4" w:rsidRDefault="00937E13" w:rsidP="002C7140">
            <w:pPr>
              <w:jc w:val="center"/>
              <w:rPr>
                <w:b/>
              </w:rPr>
            </w:pPr>
            <w:r w:rsidRPr="007D47D4">
              <w:rPr>
                <w:b/>
              </w:rPr>
              <w:t>-3</w:t>
            </w:r>
          </w:p>
        </w:tc>
        <w:tc>
          <w:tcPr>
            <w:tcW w:w="910" w:type="dxa"/>
            <w:tcBorders>
              <w:top w:val="nil"/>
              <w:left w:val="single" w:sz="4" w:space="0" w:color="auto"/>
              <w:bottom w:val="nil"/>
              <w:right w:val="nil"/>
            </w:tcBorders>
            <w:shd w:val="clear" w:color="auto" w:fill="auto"/>
            <w:noWrap/>
            <w:vAlign w:val="bottom"/>
            <w:hideMark/>
          </w:tcPr>
          <w:p w14:paraId="39619535" w14:textId="77777777" w:rsidR="00937E13" w:rsidRPr="007D47D4" w:rsidRDefault="00937E13" w:rsidP="002C7140">
            <w:pPr>
              <w:jc w:val="center"/>
              <w:rPr>
                <w:color w:val="000000"/>
              </w:rPr>
            </w:pPr>
            <w:r w:rsidRPr="007D47D4">
              <w:rPr>
                <w:color w:val="000000"/>
              </w:rPr>
              <w:t>12</w:t>
            </w:r>
          </w:p>
        </w:tc>
        <w:tc>
          <w:tcPr>
            <w:tcW w:w="840" w:type="dxa"/>
            <w:tcBorders>
              <w:top w:val="nil"/>
              <w:left w:val="nil"/>
              <w:bottom w:val="nil"/>
              <w:right w:val="single" w:sz="4" w:space="0" w:color="auto"/>
            </w:tcBorders>
            <w:shd w:val="clear" w:color="auto" w:fill="auto"/>
            <w:noWrap/>
            <w:vAlign w:val="bottom"/>
            <w:hideMark/>
          </w:tcPr>
          <w:p w14:paraId="6FA5DE01" w14:textId="77777777" w:rsidR="00937E13" w:rsidRPr="007D47D4" w:rsidRDefault="00937E13" w:rsidP="002C7140">
            <w:pPr>
              <w:jc w:val="center"/>
              <w:rPr>
                <w:color w:val="000000"/>
              </w:rPr>
            </w:pPr>
            <w:r w:rsidRPr="007D47D4">
              <w:rPr>
                <w:color w:val="000000"/>
              </w:rPr>
              <w:t>9</w:t>
            </w:r>
          </w:p>
        </w:tc>
      </w:tr>
      <w:tr w:rsidR="00937E13" w:rsidRPr="007D47D4" w14:paraId="4818597F" w14:textId="77777777" w:rsidTr="00781C1C">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209AE046" w14:textId="77777777" w:rsidR="00937E13" w:rsidRPr="007D47D4" w:rsidRDefault="00937E13" w:rsidP="002C7140">
            <w:pPr>
              <w:rPr>
                <w:color w:val="000000"/>
              </w:rPr>
            </w:pPr>
            <w:r w:rsidRPr="007D47D4">
              <w:rPr>
                <w:color w:val="000000"/>
              </w:rPr>
              <w:t>Technology &amp; Health Services</w:t>
            </w:r>
          </w:p>
        </w:tc>
        <w:tc>
          <w:tcPr>
            <w:tcW w:w="1260" w:type="dxa"/>
            <w:tcBorders>
              <w:top w:val="nil"/>
              <w:left w:val="nil"/>
              <w:bottom w:val="nil"/>
              <w:right w:val="nil"/>
            </w:tcBorders>
            <w:shd w:val="clear" w:color="auto" w:fill="auto"/>
            <w:noWrap/>
            <w:vAlign w:val="bottom"/>
            <w:hideMark/>
          </w:tcPr>
          <w:p w14:paraId="709AB1F2" w14:textId="77777777" w:rsidR="00937E13" w:rsidRPr="007D47D4" w:rsidRDefault="00937E13" w:rsidP="002C7140">
            <w:pPr>
              <w:jc w:val="center"/>
              <w:rPr>
                <w:b/>
              </w:rPr>
            </w:pPr>
            <w:r w:rsidRPr="007D47D4">
              <w:rPr>
                <w:b/>
              </w:rPr>
              <w:t>-5</w:t>
            </w:r>
          </w:p>
        </w:tc>
        <w:tc>
          <w:tcPr>
            <w:tcW w:w="910" w:type="dxa"/>
            <w:tcBorders>
              <w:top w:val="nil"/>
              <w:left w:val="single" w:sz="4" w:space="0" w:color="auto"/>
              <w:bottom w:val="nil"/>
              <w:right w:val="nil"/>
            </w:tcBorders>
            <w:shd w:val="clear" w:color="auto" w:fill="auto"/>
            <w:noWrap/>
            <w:vAlign w:val="bottom"/>
            <w:hideMark/>
          </w:tcPr>
          <w:p w14:paraId="79A98CEB" w14:textId="77777777" w:rsidR="00937E13" w:rsidRPr="007D47D4" w:rsidRDefault="00937E13" w:rsidP="002C7140">
            <w:pPr>
              <w:jc w:val="center"/>
              <w:rPr>
                <w:color w:val="000000"/>
              </w:rPr>
            </w:pPr>
            <w:r w:rsidRPr="007D47D4">
              <w:rPr>
                <w:color w:val="000000"/>
              </w:rPr>
              <w:t>13</w:t>
            </w:r>
          </w:p>
        </w:tc>
        <w:tc>
          <w:tcPr>
            <w:tcW w:w="840" w:type="dxa"/>
            <w:tcBorders>
              <w:top w:val="nil"/>
              <w:left w:val="nil"/>
              <w:bottom w:val="nil"/>
              <w:right w:val="single" w:sz="4" w:space="0" w:color="auto"/>
            </w:tcBorders>
            <w:shd w:val="clear" w:color="auto" w:fill="auto"/>
            <w:noWrap/>
            <w:vAlign w:val="bottom"/>
            <w:hideMark/>
          </w:tcPr>
          <w:p w14:paraId="789004E2" w14:textId="77777777" w:rsidR="00937E13" w:rsidRPr="007D47D4" w:rsidRDefault="00937E13" w:rsidP="002C7140">
            <w:pPr>
              <w:jc w:val="center"/>
              <w:rPr>
                <w:color w:val="000000"/>
              </w:rPr>
            </w:pPr>
            <w:r w:rsidRPr="007D47D4">
              <w:rPr>
                <w:color w:val="000000"/>
              </w:rPr>
              <w:t>8</w:t>
            </w:r>
          </w:p>
        </w:tc>
      </w:tr>
      <w:tr w:rsidR="00937E13" w:rsidRPr="007D47D4" w14:paraId="644F5D9A" w14:textId="77777777" w:rsidTr="00781C1C">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692E3FAA" w14:textId="77777777" w:rsidR="00937E13" w:rsidRPr="007D47D4" w:rsidRDefault="00937E13" w:rsidP="002C7140">
            <w:pPr>
              <w:rPr>
                <w:color w:val="000000"/>
              </w:rPr>
            </w:pPr>
            <w:r w:rsidRPr="007D47D4">
              <w:rPr>
                <w:color w:val="000000"/>
              </w:rPr>
              <w:t>Communications</w:t>
            </w:r>
          </w:p>
        </w:tc>
        <w:tc>
          <w:tcPr>
            <w:tcW w:w="1260" w:type="dxa"/>
            <w:tcBorders>
              <w:top w:val="nil"/>
              <w:left w:val="nil"/>
              <w:bottom w:val="nil"/>
              <w:right w:val="nil"/>
            </w:tcBorders>
            <w:shd w:val="clear" w:color="auto" w:fill="auto"/>
            <w:noWrap/>
            <w:vAlign w:val="bottom"/>
            <w:hideMark/>
          </w:tcPr>
          <w:p w14:paraId="2E4D577E" w14:textId="77777777" w:rsidR="00937E13" w:rsidRPr="007D47D4" w:rsidRDefault="00937E13" w:rsidP="002C7140">
            <w:pPr>
              <w:jc w:val="center"/>
              <w:rPr>
                <w:b/>
              </w:rPr>
            </w:pPr>
            <w:r w:rsidRPr="007D47D4">
              <w:rPr>
                <w:b/>
              </w:rPr>
              <w:t>0</w:t>
            </w:r>
          </w:p>
        </w:tc>
        <w:tc>
          <w:tcPr>
            <w:tcW w:w="910" w:type="dxa"/>
            <w:tcBorders>
              <w:top w:val="nil"/>
              <w:left w:val="single" w:sz="4" w:space="0" w:color="auto"/>
              <w:bottom w:val="nil"/>
              <w:right w:val="nil"/>
            </w:tcBorders>
            <w:shd w:val="clear" w:color="auto" w:fill="auto"/>
            <w:noWrap/>
            <w:vAlign w:val="bottom"/>
            <w:hideMark/>
          </w:tcPr>
          <w:p w14:paraId="6822447A" w14:textId="77777777" w:rsidR="00937E13" w:rsidRPr="007D47D4" w:rsidRDefault="00937E13" w:rsidP="002C7140">
            <w:pPr>
              <w:jc w:val="center"/>
              <w:rPr>
                <w:color w:val="000000"/>
              </w:rPr>
            </w:pPr>
            <w:r w:rsidRPr="007D47D4">
              <w:rPr>
                <w:color w:val="000000"/>
              </w:rPr>
              <w:t>14</w:t>
            </w:r>
          </w:p>
        </w:tc>
        <w:tc>
          <w:tcPr>
            <w:tcW w:w="840" w:type="dxa"/>
            <w:tcBorders>
              <w:top w:val="nil"/>
              <w:left w:val="nil"/>
              <w:bottom w:val="nil"/>
              <w:right w:val="single" w:sz="4" w:space="0" w:color="auto"/>
            </w:tcBorders>
            <w:shd w:val="clear" w:color="auto" w:fill="auto"/>
            <w:noWrap/>
            <w:vAlign w:val="bottom"/>
            <w:hideMark/>
          </w:tcPr>
          <w:p w14:paraId="05A9F602" w14:textId="77777777" w:rsidR="00937E13" w:rsidRPr="007D47D4" w:rsidRDefault="00937E13" w:rsidP="002C7140">
            <w:pPr>
              <w:jc w:val="center"/>
              <w:rPr>
                <w:color w:val="000000"/>
              </w:rPr>
            </w:pPr>
            <w:r w:rsidRPr="007D47D4">
              <w:rPr>
                <w:color w:val="000000"/>
              </w:rPr>
              <w:t>14</w:t>
            </w:r>
          </w:p>
        </w:tc>
      </w:tr>
      <w:tr w:rsidR="00937E13" w:rsidRPr="007D47D4" w14:paraId="7C2A43E4" w14:textId="77777777" w:rsidTr="00781C1C">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53C6C399" w14:textId="77777777" w:rsidR="00937E13" w:rsidRPr="007D47D4" w:rsidRDefault="00937E13" w:rsidP="002C7140">
            <w:pPr>
              <w:rPr>
                <w:color w:val="000000"/>
              </w:rPr>
            </w:pPr>
            <w:r w:rsidRPr="007D47D4">
              <w:rPr>
                <w:color w:val="000000"/>
              </w:rPr>
              <w:t>Health Technology</w:t>
            </w:r>
          </w:p>
        </w:tc>
        <w:tc>
          <w:tcPr>
            <w:tcW w:w="1260" w:type="dxa"/>
            <w:tcBorders>
              <w:top w:val="nil"/>
              <w:left w:val="nil"/>
              <w:bottom w:val="nil"/>
              <w:right w:val="nil"/>
            </w:tcBorders>
            <w:shd w:val="clear" w:color="auto" w:fill="auto"/>
            <w:noWrap/>
            <w:vAlign w:val="bottom"/>
            <w:hideMark/>
          </w:tcPr>
          <w:p w14:paraId="0B4A9895" w14:textId="77777777" w:rsidR="00937E13" w:rsidRPr="007D47D4" w:rsidRDefault="00937E13" w:rsidP="002C7140">
            <w:pPr>
              <w:jc w:val="center"/>
              <w:rPr>
                <w:b/>
              </w:rPr>
            </w:pPr>
            <w:r w:rsidRPr="007D47D4">
              <w:rPr>
                <w:b/>
              </w:rPr>
              <w:t>-5</w:t>
            </w:r>
          </w:p>
        </w:tc>
        <w:tc>
          <w:tcPr>
            <w:tcW w:w="910" w:type="dxa"/>
            <w:tcBorders>
              <w:top w:val="nil"/>
              <w:left w:val="single" w:sz="4" w:space="0" w:color="auto"/>
              <w:bottom w:val="nil"/>
              <w:right w:val="nil"/>
            </w:tcBorders>
            <w:shd w:val="clear" w:color="auto" w:fill="auto"/>
            <w:noWrap/>
            <w:vAlign w:val="bottom"/>
            <w:hideMark/>
          </w:tcPr>
          <w:p w14:paraId="47CC30FE" w14:textId="77777777" w:rsidR="00937E13" w:rsidRPr="007D47D4" w:rsidRDefault="00937E13" w:rsidP="002C7140">
            <w:pPr>
              <w:jc w:val="center"/>
              <w:rPr>
                <w:color w:val="000000"/>
              </w:rPr>
            </w:pPr>
            <w:r w:rsidRPr="007D47D4">
              <w:rPr>
                <w:color w:val="000000"/>
              </w:rPr>
              <w:t>15</w:t>
            </w:r>
          </w:p>
        </w:tc>
        <w:tc>
          <w:tcPr>
            <w:tcW w:w="840" w:type="dxa"/>
            <w:tcBorders>
              <w:top w:val="nil"/>
              <w:left w:val="nil"/>
              <w:bottom w:val="nil"/>
              <w:right w:val="single" w:sz="4" w:space="0" w:color="auto"/>
            </w:tcBorders>
            <w:shd w:val="clear" w:color="auto" w:fill="auto"/>
            <w:noWrap/>
            <w:vAlign w:val="bottom"/>
            <w:hideMark/>
          </w:tcPr>
          <w:p w14:paraId="7F806832" w14:textId="77777777" w:rsidR="00937E13" w:rsidRPr="007D47D4" w:rsidRDefault="00937E13" w:rsidP="002C7140">
            <w:pPr>
              <w:jc w:val="center"/>
              <w:rPr>
                <w:color w:val="000000"/>
              </w:rPr>
            </w:pPr>
            <w:r w:rsidRPr="007D47D4">
              <w:rPr>
                <w:color w:val="000000"/>
              </w:rPr>
              <w:t>10</w:t>
            </w:r>
          </w:p>
        </w:tc>
      </w:tr>
      <w:tr w:rsidR="00937E13" w:rsidRPr="007D47D4" w14:paraId="2A743C36" w14:textId="77777777" w:rsidTr="00781C1C">
        <w:trPr>
          <w:trHeight w:val="300"/>
        </w:trPr>
        <w:tc>
          <w:tcPr>
            <w:tcW w:w="3795" w:type="dxa"/>
            <w:tcBorders>
              <w:top w:val="nil"/>
              <w:left w:val="single" w:sz="4" w:space="0" w:color="auto"/>
              <w:bottom w:val="nil"/>
              <w:right w:val="single" w:sz="4" w:space="0" w:color="auto"/>
            </w:tcBorders>
            <w:shd w:val="clear" w:color="auto" w:fill="auto"/>
            <w:noWrap/>
            <w:vAlign w:val="bottom"/>
            <w:hideMark/>
          </w:tcPr>
          <w:p w14:paraId="7C7B7A16" w14:textId="77777777" w:rsidR="00937E13" w:rsidRPr="007D47D4" w:rsidRDefault="00937E13" w:rsidP="002C7140">
            <w:pPr>
              <w:rPr>
                <w:color w:val="000000"/>
              </w:rPr>
            </w:pPr>
            <w:r w:rsidRPr="007D47D4">
              <w:rPr>
                <w:color w:val="000000"/>
              </w:rPr>
              <w:t>Energy Minerals</w:t>
            </w:r>
          </w:p>
        </w:tc>
        <w:tc>
          <w:tcPr>
            <w:tcW w:w="1260" w:type="dxa"/>
            <w:tcBorders>
              <w:top w:val="nil"/>
              <w:left w:val="nil"/>
              <w:bottom w:val="nil"/>
              <w:right w:val="nil"/>
            </w:tcBorders>
            <w:shd w:val="clear" w:color="auto" w:fill="auto"/>
            <w:noWrap/>
            <w:vAlign w:val="bottom"/>
            <w:hideMark/>
          </w:tcPr>
          <w:p w14:paraId="28078C5D" w14:textId="77777777" w:rsidR="00937E13" w:rsidRPr="007D47D4" w:rsidRDefault="00937E13" w:rsidP="002C7140">
            <w:pPr>
              <w:jc w:val="center"/>
              <w:rPr>
                <w:b/>
              </w:rPr>
            </w:pPr>
            <w:r w:rsidRPr="007D47D4">
              <w:rPr>
                <w:b/>
              </w:rPr>
              <w:t>0</w:t>
            </w:r>
          </w:p>
        </w:tc>
        <w:tc>
          <w:tcPr>
            <w:tcW w:w="910" w:type="dxa"/>
            <w:tcBorders>
              <w:top w:val="nil"/>
              <w:left w:val="single" w:sz="4" w:space="0" w:color="auto"/>
              <w:bottom w:val="nil"/>
              <w:right w:val="nil"/>
            </w:tcBorders>
            <w:shd w:val="clear" w:color="auto" w:fill="auto"/>
            <w:noWrap/>
            <w:vAlign w:val="bottom"/>
            <w:hideMark/>
          </w:tcPr>
          <w:p w14:paraId="44A094B1" w14:textId="77777777" w:rsidR="00937E13" w:rsidRPr="007D47D4" w:rsidRDefault="00937E13" w:rsidP="002C7140">
            <w:pPr>
              <w:jc w:val="center"/>
              <w:rPr>
                <w:color w:val="000000"/>
              </w:rPr>
            </w:pPr>
            <w:r w:rsidRPr="007D47D4">
              <w:rPr>
                <w:color w:val="000000"/>
              </w:rPr>
              <w:t>16</w:t>
            </w:r>
          </w:p>
        </w:tc>
        <w:tc>
          <w:tcPr>
            <w:tcW w:w="840" w:type="dxa"/>
            <w:tcBorders>
              <w:top w:val="nil"/>
              <w:left w:val="nil"/>
              <w:bottom w:val="nil"/>
              <w:right w:val="single" w:sz="4" w:space="0" w:color="auto"/>
            </w:tcBorders>
            <w:shd w:val="clear" w:color="auto" w:fill="auto"/>
            <w:noWrap/>
            <w:vAlign w:val="bottom"/>
            <w:hideMark/>
          </w:tcPr>
          <w:p w14:paraId="5F751A06" w14:textId="77777777" w:rsidR="00937E13" w:rsidRPr="007D47D4" w:rsidRDefault="00937E13" w:rsidP="002C7140">
            <w:pPr>
              <w:jc w:val="center"/>
              <w:rPr>
                <w:color w:val="000000"/>
              </w:rPr>
            </w:pPr>
            <w:r w:rsidRPr="007D47D4">
              <w:rPr>
                <w:color w:val="000000"/>
              </w:rPr>
              <w:t>16</w:t>
            </w:r>
          </w:p>
        </w:tc>
      </w:tr>
      <w:tr w:rsidR="00937E13" w:rsidRPr="007D47D4" w14:paraId="3A637AE9" w14:textId="77777777" w:rsidTr="00781C1C">
        <w:trPr>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14:paraId="4836A9E6" w14:textId="77777777" w:rsidR="00937E13" w:rsidRPr="007D47D4" w:rsidRDefault="00937E13" w:rsidP="002C7140">
            <w:pPr>
              <w:rPr>
                <w:color w:val="000000"/>
              </w:rPr>
            </w:pPr>
            <w:r w:rsidRPr="007D47D4">
              <w:rPr>
                <w:color w:val="000000"/>
              </w:rPr>
              <w:t>Non-Energy Minerals</w:t>
            </w:r>
          </w:p>
        </w:tc>
        <w:tc>
          <w:tcPr>
            <w:tcW w:w="1260" w:type="dxa"/>
            <w:tcBorders>
              <w:top w:val="nil"/>
              <w:left w:val="nil"/>
              <w:bottom w:val="single" w:sz="4" w:space="0" w:color="auto"/>
              <w:right w:val="nil"/>
            </w:tcBorders>
            <w:shd w:val="clear" w:color="auto" w:fill="auto"/>
            <w:noWrap/>
            <w:vAlign w:val="bottom"/>
            <w:hideMark/>
          </w:tcPr>
          <w:p w14:paraId="7420C4ED" w14:textId="77777777" w:rsidR="00937E13" w:rsidRPr="007D47D4" w:rsidRDefault="00937E13" w:rsidP="002C7140">
            <w:pPr>
              <w:jc w:val="center"/>
              <w:rPr>
                <w:b/>
              </w:rPr>
            </w:pPr>
            <w:r w:rsidRPr="007D47D4">
              <w:rPr>
                <w:b/>
              </w:rPr>
              <w:t>0</w:t>
            </w:r>
          </w:p>
        </w:tc>
        <w:tc>
          <w:tcPr>
            <w:tcW w:w="910" w:type="dxa"/>
            <w:tcBorders>
              <w:top w:val="nil"/>
              <w:left w:val="single" w:sz="4" w:space="0" w:color="auto"/>
              <w:bottom w:val="single" w:sz="4" w:space="0" w:color="auto"/>
              <w:right w:val="nil"/>
            </w:tcBorders>
            <w:shd w:val="clear" w:color="auto" w:fill="auto"/>
            <w:noWrap/>
            <w:vAlign w:val="bottom"/>
            <w:hideMark/>
          </w:tcPr>
          <w:p w14:paraId="282FB947" w14:textId="77777777" w:rsidR="00937E13" w:rsidRPr="007D47D4" w:rsidRDefault="00937E13" w:rsidP="002C7140">
            <w:pPr>
              <w:jc w:val="center"/>
              <w:rPr>
                <w:color w:val="000000"/>
              </w:rPr>
            </w:pPr>
            <w:r w:rsidRPr="007D47D4">
              <w:rPr>
                <w:color w:val="000000"/>
              </w:rPr>
              <w:t>17</w:t>
            </w:r>
          </w:p>
        </w:tc>
        <w:tc>
          <w:tcPr>
            <w:tcW w:w="840" w:type="dxa"/>
            <w:tcBorders>
              <w:top w:val="nil"/>
              <w:left w:val="nil"/>
              <w:bottom w:val="single" w:sz="4" w:space="0" w:color="auto"/>
              <w:right w:val="single" w:sz="4" w:space="0" w:color="auto"/>
            </w:tcBorders>
            <w:shd w:val="clear" w:color="auto" w:fill="auto"/>
            <w:noWrap/>
            <w:vAlign w:val="bottom"/>
            <w:hideMark/>
          </w:tcPr>
          <w:p w14:paraId="49E391F7" w14:textId="77777777" w:rsidR="00937E13" w:rsidRPr="007D47D4" w:rsidRDefault="00937E13" w:rsidP="002C7140">
            <w:pPr>
              <w:jc w:val="center"/>
              <w:rPr>
                <w:color w:val="000000"/>
              </w:rPr>
            </w:pPr>
            <w:r w:rsidRPr="007D47D4">
              <w:rPr>
                <w:color w:val="000000"/>
              </w:rPr>
              <w:t>17</w:t>
            </w:r>
          </w:p>
        </w:tc>
      </w:tr>
    </w:tbl>
    <w:p w14:paraId="4DE26C3B" w14:textId="77777777" w:rsidR="00937E13" w:rsidRDefault="00937E13" w:rsidP="00FB05CD">
      <w:pPr>
        <w:keepNext/>
        <w:keepLines/>
        <w:jc w:val="both"/>
        <w:outlineLvl w:val="0"/>
        <w:rPr>
          <w:b/>
          <w:bCs/>
          <w:kern w:val="32"/>
        </w:rPr>
      </w:pPr>
    </w:p>
    <w:p w14:paraId="4619D97A" w14:textId="77777777" w:rsidR="004825BC" w:rsidRDefault="004825BC" w:rsidP="00FB05CD">
      <w:pPr>
        <w:keepNext/>
        <w:keepLines/>
        <w:jc w:val="both"/>
        <w:outlineLvl w:val="0"/>
        <w:rPr>
          <w:b/>
          <w:bCs/>
          <w:kern w:val="32"/>
        </w:rPr>
      </w:pPr>
    </w:p>
    <w:p w14:paraId="5F432DB2" w14:textId="74012731" w:rsidR="008A1CE8" w:rsidRPr="007D47D4" w:rsidRDefault="008A1CE8" w:rsidP="00FB05CD">
      <w:pPr>
        <w:keepNext/>
        <w:keepLines/>
        <w:jc w:val="both"/>
        <w:outlineLvl w:val="0"/>
        <w:rPr>
          <w:b/>
          <w:bCs/>
          <w:kern w:val="32"/>
        </w:rPr>
      </w:pPr>
      <w:r w:rsidRPr="007D47D4">
        <w:rPr>
          <w:b/>
          <w:bCs/>
          <w:kern w:val="32"/>
        </w:rPr>
        <w:t>CONCLUSION</w:t>
      </w:r>
    </w:p>
    <w:p w14:paraId="0506B68A" w14:textId="77777777" w:rsidR="00AE00E2" w:rsidRDefault="00AE00E2" w:rsidP="00FB05CD">
      <w:pPr>
        <w:keepNext/>
        <w:keepLines/>
        <w:ind w:firstLine="720"/>
        <w:jc w:val="both"/>
        <w:outlineLvl w:val="0"/>
        <w:rPr>
          <w:bCs/>
          <w:kern w:val="32"/>
        </w:rPr>
      </w:pPr>
    </w:p>
    <w:p w14:paraId="4E627D82" w14:textId="7A343D26" w:rsidR="008A1CE8" w:rsidRPr="007D47D4" w:rsidRDefault="008A1CE8" w:rsidP="00FB05CD">
      <w:pPr>
        <w:keepNext/>
        <w:keepLines/>
        <w:ind w:firstLine="720"/>
        <w:jc w:val="both"/>
        <w:outlineLvl w:val="0"/>
        <w:rPr>
          <w:bCs/>
          <w:kern w:val="32"/>
        </w:rPr>
      </w:pPr>
      <w:r w:rsidRPr="007D47D4">
        <w:rPr>
          <w:bCs/>
          <w:kern w:val="32"/>
        </w:rPr>
        <w:t xml:space="preserve">We demonstrate that over the past forty years, book values of equity have diverged significantly from market values of equity, making ROE a less meaningful measure of investor returns.  This divergence has been largely driven by an increase in intangible assets within firms. The corresponding DuPont Analysis is then less valuable, particularly for industries </w:t>
      </w:r>
      <w:r w:rsidR="00F975F1" w:rsidRPr="007D47D4">
        <w:rPr>
          <w:bCs/>
          <w:kern w:val="32"/>
        </w:rPr>
        <w:t xml:space="preserve">that </w:t>
      </w:r>
      <w:r w:rsidRPr="007D47D4">
        <w:rPr>
          <w:bCs/>
          <w:kern w:val="32"/>
        </w:rPr>
        <w:t xml:space="preserve">have </w:t>
      </w:r>
      <w:r w:rsidR="00F975F1" w:rsidRPr="007D47D4">
        <w:rPr>
          <w:bCs/>
          <w:kern w:val="32"/>
        </w:rPr>
        <w:t xml:space="preserve">higher levels of </w:t>
      </w:r>
      <w:r w:rsidRPr="007D47D4">
        <w:rPr>
          <w:bCs/>
          <w:kern w:val="32"/>
        </w:rPr>
        <w:t>intangible assets.  We instead propose using ROME which better captures shareholder returns, and still retains the benefits of a traditional DuPont Analysis by adding the component of book-to-market to the analysis.</w:t>
      </w:r>
    </w:p>
    <w:p w14:paraId="3375BDFE" w14:textId="77777777" w:rsidR="008A1CE8" w:rsidRDefault="008A1CE8" w:rsidP="003C15D5">
      <w:pPr>
        <w:widowControl w:val="0"/>
        <w:contextualSpacing/>
        <w:jc w:val="both"/>
        <w:rPr>
          <w:b/>
          <w:bCs/>
          <w:kern w:val="32"/>
        </w:rPr>
      </w:pPr>
    </w:p>
    <w:p w14:paraId="5096DBA8" w14:textId="77777777" w:rsidR="00AE00E2" w:rsidRPr="00AE00E2" w:rsidRDefault="00AE00E2" w:rsidP="003C15D5">
      <w:pPr>
        <w:pStyle w:val="EndnoteText"/>
        <w:rPr>
          <w:b/>
          <w:sz w:val="24"/>
          <w:szCs w:val="24"/>
        </w:rPr>
      </w:pPr>
      <w:r w:rsidRPr="00AE00E2">
        <w:rPr>
          <w:b/>
          <w:sz w:val="24"/>
          <w:szCs w:val="24"/>
        </w:rPr>
        <w:t>ENDNOTES</w:t>
      </w:r>
    </w:p>
    <w:p w14:paraId="467590B3" w14:textId="77777777" w:rsidR="00AE00E2" w:rsidRPr="00AE00E2" w:rsidRDefault="00AE00E2" w:rsidP="003C15D5">
      <w:pPr>
        <w:pStyle w:val="EndnoteText"/>
        <w:rPr>
          <w:sz w:val="24"/>
          <w:szCs w:val="24"/>
        </w:rPr>
      </w:pPr>
    </w:p>
    <w:p w14:paraId="273D069C" w14:textId="21EB3033" w:rsidR="00AE00E2" w:rsidRDefault="000D186B" w:rsidP="000D186B">
      <w:pPr>
        <w:pStyle w:val="EndnoteText"/>
        <w:ind w:firstLine="720"/>
        <w:rPr>
          <w:sz w:val="24"/>
          <w:szCs w:val="24"/>
        </w:rPr>
      </w:pPr>
      <w:r w:rsidRPr="00902439">
        <w:rPr>
          <w:vertAlign w:val="superscript"/>
        </w:rPr>
        <w:t>1</w:t>
      </w:r>
      <w:r>
        <w:rPr>
          <w:sz w:val="24"/>
          <w:szCs w:val="24"/>
        </w:rPr>
        <w:t xml:space="preserve"> </w:t>
      </w:r>
      <w:hyperlink r:id="rId11" w:anchor="426856e213e8" w:history="1">
        <w:r w:rsidR="008D03D8" w:rsidRPr="009D6AA4">
          <w:rPr>
            <w:rStyle w:val="Hyperlink"/>
            <w:sz w:val="24"/>
            <w:szCs w:val="24"/>
          </w:rPr>
          <w:t>http://www.forbes.com/sites/investor/2013/01/18/beware-weak-link-between-return-on-equity-and-high-stock-price-returns/#426856e213e8</w:t>
        </w:r>
      </w:hyperlink>
    </w:p>
    <w:p w14:paraId="6B335181" w14:textId="67DF7BAC" w:rsidR="00AE00E2" w:rsidRDefault="000D186B" w:rsidP="003C15D5">
      <w:pPr>
        <w:pStyle w:val="EndnoteText"/>
        <w:ind w:firstLine="720"/>
        <w:rPr>
          <w:sz w:val="24"/>
          <w:szCs w:val="24"/>
        </w:rPr>
      </w:pPr>
      <w:r>
        <w:rPr>
          <w:vertAlign w:val="superscript"/>
        </w:rPr>
        <w:t>2</w:t>
      </w:r>
      <w:r w:rsidR="00AE00E2" w:rsidRPr="00AE00E2">
        <w:rPr>
          <w:sz w:val="24"/>
          <w:szCs w:val="24"/>
        </w:rPr>
        <w:t xml:space="preserve"> </w:t>
      </w:r>
      <w:hyperlink r:id="rId12" w:history="1">
        <w:r w:rsidR="008D03D8" w:rsidRPr="009D6AA4">
          <w:rPr>
            <w:rStyle w:val="Hyperlink"/>
            <w:sz w:val="24"/>
            <w:szCs w:val="24"/>
          </w:rPr>
          <w:t>https://hbr.org/2010/03/the-best-way-to-measure-compan.html</w:t>
        </w:r>
      </w:hyperlink>
    </w:p>
    <w:p w14:paraId="0140D3F5" w14:textId="77777777" w:rsidR="008D03D8" w:rsidRPr="00AE00E2" w:rsidRDefault="008D03D8" w:rsidP="003C15D5">
      <w:pPr>
        <w:pStyle w:val="EndnoteText"/>
        <w:ind w:firstLine="720"/>
        <w:rPr>
          <w:sz w:val="24"/>
          <w:szCs w:val="24"/>
        </w:rPr>
      </w:pPr>
    </w:p>
    <w:p w14:paraId="1BC575B1" w14:textId="77777777" w:rsidR="008D03D8" w:rsidRDefault="008D03D8" w:rsidP="003C15D5">
      <w:pPr>
        <w:keepNext/>
        <w:keepLines/>
        <w:jc w:val="both"/>
        <w:outlineLvl w:val="0"/>
        <w:rPr>
          <w:b/>
          <w:bCs/>
          <w:kern w:val="32"/>
        </w:rPr>
      </w:pPr>
    </w:p>
    <w:p w14:paraId="470683FA" w14:textId="1CF41A4A" w:rsidR="00936459" w:rsidRPr="007D47D4" w:rsidRDefault="004825BC" w:rsidP="003C15D5">
      <w:pPr>
        <w:keepNext/>
        <w:keepLines/>
        <w:jc w:val="both"/>
        <w:outlineLvl w:val="0"/>
        <w:rPr>
          <w:b/>
          <w:bCs/>
          <w:kern w:val="32"/>
        </w:rPr>
      </w:pPr>
      <w:r>
        <w:rPr>
          <w:b/>
          <w:bCs/>
          <w:kern w:val="32"/>
        </w:rPr>
        <w:t>R</w:t>
      </w:r>
      <w:r w:rsidR="00936459" w:rsidRPr="007D47D4">
        <w:rPr>
          <w:b/>
          <w:bCs/>
          <w:kern w:val="32"/>
        </w:rPr>
        <w:t>EFERENCES</w:t>
      </w:r>
    </w:p>
    <w:p w14:paraId="0592F4DD" w14:textId="77777777" w:rsidR="00AE00E2" w:rsidRDefault="00AE00E2" w:rsidP="003C15D5">
      <w:pPr>
        <w:keepNext/>
        <w:keepLines/>
        <w:ind w:left="360" w:hanging="367"/>
        <w:jc w:val="both"/>
        <w:outlineLvl w:val="0"/>
        <w:rPr>
          <w:bCs/>
          <w:kern w:val="32"/>
        </w:rPr>
      </w:pPr>
    </w:p>
    <w:p w14:paraId="6001EB54" w14:textId="406F5688" w:rsidR="00936459" w:rsidRDefault="00936459" w:rsidP="00AE00E2">
      <w:pPr>
        <w:keepNext/>
        <w:keepLines/>
        <w:ind w:hanging="7"/>
        <w:jc w:val="both"/>
        <w:outlineLvl w:val="0"/>
        <w:rPr>
          <w:bCs/>
          <w:kern w:val="32"/>
        </w:rPr>
      </w:pPr>
      <w:r w:rsidRPr="007D47D4">
        <w:rPr>
          <w:bCs/>
          <w:kern w:val="32"/>
        </w:rPr>
        <w:t xml:space="preserve">Barth, M., </w:t>
      </w:r>
      <w:proofErr w:type="spellStart"/>
      <w:r w:rsidRPr="007D47D4">
        <w:rPr>
          <w:bCs/>
          <w:kern w:val="32"/>
        </w:rPr>
        <w:t>Kasznik</w:t>
      </w:r>
      <w:proofErr w:type="spellEnd"/>
      <w:r w:rsidRPr="007D47D4">
        <w:rPr>
          <w:bCs/>
          <w:kern w:val="32"/>
        </w:rPr>
        <w:t xml:space="preserve">, R., and M. </w:t>
      </w:r>
      <w:proofErr w:type="spellStart"/>
      <w:r w:rsidRPr="007D47D4">
        <w:rPr>
          <w:bCs/>
          <w:kern w:val="32"/>
        </w:rPr>
        <w:t>McNichols</w:t>
      </w:r>
      <w:proofErr w:type="spellEnd"/>
      <w:r w:rsidRPr="007D47D4">
        <w:rPr>
          <w:bCs/>
          <w:kern w:val="32"/>
        </w:rPr>
        <w:t xml:space="preserve"> (2001) “Analyst C</w:t>
      </w:r>
      <w:r w:rsidR="006167AE" w:rsidRPr="007D47D4">
        <w:rPr>
          <w:bCs/>
          <w:kern w:val="32"/>
        </w:rPr>
        <w:t xml:space="preserve">overage and Intangible Assets.” </w:t>
      </w:r>
      <w:r w:rsidRPr="007D47D4">
        <w:rPr>
          <w:bCs/>
          <w:i/>
          <w:kern w:val="32"/>
        </w:rPr>
        <w:t>Journal of Accounting Research.</w:t>
      </w:r>
      <w:r w:rsidRPr="007D47D4">
        <w:rPr>
          <w:bCs/>
          <w:kern w:val="32"/>
        </w:rPr>
        <w:t xml:space="preserve"> 39:1, 1-34.</w:t>
      </w:r>
    </w:p>
    <w:p w14:paraId="457DCF1F" w14:textId="77777777" w:rsidR="00AE00E2" w:rsidRPr="007D47D4" w:rsidRDefault="00AE00E2" w:rsidP="00AE00E2">
      <w:pPr>
        <w:keepNext/>
        <w:keepLines/>
        <w:ind w:hanging="7"/>
        <w:jc w:val="both"/>
        <w:outlineLvl w:val="0"/>
        <w:rPr>
          <w:bCs/>
          <w:kern w:val="32"/>
        </w:rPr>
      </w:pPr>
    </w:p>
    <w:p w14:paraId="44ADE9BB" w14:textId="424B7FB3" w:rsidR="00866EF7" w:rsidRDefault="00866EF7" w:rsidP="00AE00E2">
      <w:pPr>
        <w:keepNext/>
        <w:keepLines/>
        <w:ind w:hanging="7"/>
        <w:jc w:val="both"/>
        <w:outlineLvl w:val="0"/>
        <w:rPr>
          <w:bCs/>
          <w:kern w:val="32"/>
        </w:rPr>
      </w:pPr>
      <w:r w:rsidRPr="007D47D4">
        <w:rPr>
          <w:bCs/>
          <w:kern w:val="32"/>
        </w:rPr>
        <w:t xml:space="preserve">Chan, L., </w:t>
      </w:r>
      <w:proofErr w:type="spellStart"/>
      <w:r w:rsidRPr="007D47D4">
        <w:rPr>
          <w:bCs/>
          <w:kern w:val="32"/>
        </w:rPr>
        <w:t>Lakonishok</w:t>
      </w:r>
      <w:proofErr w:type="spellEnd"/>
      <w:r w:rsidRPr="007D47D4">
        <w:rPr>
          <w:bCs/>
          <w:kern w:val="32"/>
        </w:rPr>
        <w:t xml:space="preserve">, J. and T. </w:t>
      </w:r>
      <w:proofErr w:type="spellStart"/>
      <w:r w:rsidRPr="007D47D4">
        <w:rPr>
          <w:bCs/>
          <w:kern w:val="32"/>
        </w:rPr>
        <w:t>Sougiannis</w:t>
      </w:r>
      <w:proofErr w:type="spellEnd"/>
      <w:r w:rsidRPr="007D47D4">
        <w:rPr>
          <w:bCs/>
          <w:kern w:val="32"/>
        </w:rPr>
        <w:t xml:space="preserve"> (2001) “The Stock Market Valuation of Research and Development Expenditures.” </w:t>
      </w:r>
      <w:r w:rsidRPr="007D47D4">
        <w:rPr>
          <w:bCs/>
          <w:i/>
          <w:kern w:val="32"/>
        </w:rPr>
        <w:t>The Journal of Finance</w:t>
      </w:r>
      <w:r w:rsidRPr="007D47D4">
        <w:rPr>
          <w:bCs/>
          <w:kern w:val="32"/>
        </w:rPr>
        <w:t>. 56:6, 2431-2456.</w:t>
      </w:r>
    </w:p>
    <w:p w14:paraId="067FBB65" w14:textId="77777777" w:rsidR="00AE00E2" w:rsidRPr="007D47D4" w:rsidRDefault="00AE00E2" w:rsidP="00AE00E2">
      <w:pPr>
        <w:keepNext/>
        <w:keepLines/>
        <w:ind w:hanging="7"/>
        <w:jc w:val="both"/>
        <w:outlineLvl w:val="0"/>
        <w:rPr>
          <w:bCs/>
          <w:kern w:val="32"/>
        </w:rPr>
      </w:pPr>
    </w:p>
    <w:p w14:paraId="5EEC7A35" w14:textId="62781378" w:rsidR="00D41BC0" w:rsidRDefault="00D41BC0" w:rsidP="00AE00E2">
      <w:pPr>
        <w:keepNext/>
        <w:keepLines/>
        <w:ind w:hanging="7"/>
        <w:jc w:val="both"/>
        <w:outlineLvl w:val="0"/>
        <w:rPr>
          <w:bCs/>
          <w:kern w:val="32"/>
        </w:rPr>
      </w:pPr>
      <w:r w:rsidRPr="007D47D4">
        <w:rPr>
          <w:bCs/>
          <w:kern w:val="32"/>
        </w:rPr>
        <w:t xml:space="preserve">Chang, K., </w:t>
      </w:r>
      <w:proofErr w:type="spellStart"/>
      <w:r w:rsidRPr="007D47D4">
        <w:rPr>
          <w:bCs/>
          <w:kern w:val="32"/>
        </w:rPr>
        <w:t>Chichernea</w:t>
      </w:r>
      <w:proofErr w:type="spellEnd"/>
      <w:r w:rsidRPr="007D47D4">
        <w:rPr>
          <w:bCs/>
          <w:kern w:val="32"/>
        </w:rPr>
        <w:t xml:space="preserve">, D. and H. </w:t>
      </w:r>
      <w:proofErr w:type="spellStart"/>
      <w:r w:rsidRPr="007D47D4">
        <w:rPr>
          <w:bCs/>
          <w:kern w:val="32"/>
        </w:rPr>
        <w:t>HassabElnaby</w:t>
      </w:r>
      <w:proofErr w:type="spellEnd"/>
      <w:r w:rsidRPr="007D47D4">
        <w:rPr>
          <w:bCs/>
          <w:kern w:val="32"/>
        </w:rPr>
        <w:t xml:space="preserve"> (2014) “On th</w:t>
      </w:r>
      <w:r w:rsidR="006167AE" w:rsidRPr="007D47D4">
        <w:rPr>
          <w:bCs/>
          <w:kern w:val="32"/>
        </w:rPr>
        <w:t xml:space="preserve">e DuPont Analysis in the Health </w:t>
      </w:r>
      <w:r w:rsidRPr="007D47D4">
        <w:rPr>
          <w:bCs/>
          <w:kern w:val="32"/>
        </w:rPr>
        <w:t xml:space="preserve">Care Industry” </w:t>
      </w:r>
      <w:r w:rsidRPr="007D47D4">
        <w:rPr>
          <w:bCs/>
          <w:i/>
          <w:kern w:val="32"/>
        </w:rPr>
        <w:t>Journal of Accounting and Public Policy</w:t>
      </w:r>
      <w:r w:rsidRPr="007D47D4">
        <w:rPr>
          <w:bCs/>
          <w:kern w:val="32"/>
        </w:rPr>
        <w:t>. 33:1, 83-103.</w:t>
      </w:r>
    </w:p>
    <w:p w14:paraId="6D44D114" w14:textId="77777777" w:rsidR="00AE00E2" w:rsidRPr="007D47D4" w:rsidRDefault="00AE00E2" w:rsidP="00AE00E2">
      <w:pPr>
        <w:keepNext/>
        <w:keepLines/>
        <w:ind w:hanging="7"/>
        <w:jc w:val="both"/>
        <w:outlineLvl w:val="0"/>
        <w:rPr>
          <w:bCs/>
          <w:kern w:val="32"/>
        </w:rPr>
      </w:pPr>
    </w:p>
    <w:p w14:paraId="311923D6" w14:textId="46A95CD6" w:rsidR="00866EF7" w:rsidRDefault="00866EF7" w:rsidP="00AE00E2">
      <w:pPr>
        <w:keepNext/>
        <w:keepLines/>
        <w:ind w:hanging="7"/>
        <w:jc w:val="both"/>
        <w:outlineLvl w:val="0"/>
        <w:rPr>
          <w:bCs/>
          <w:kern w:val="32"/>
        </w:rPr>
      </w:pPr>
      <w:r w:rsidRPr="007D47D4">
        <w:rPr>
          <w:bCs/>
          <w:kern w:val="32"/>
        </w:rPr>
        <w:t>Daniel, K. and S. Titman (2006) “Market Reactions to Tangib</w:t>
      </w:r>
      <w:r w:rsidR="006167AE" w:rsidRPr="007D47D4">
        <w:rPr>
          <w:bCs/>
          <w:kern w:val="32"/>
        </w:rPr>
        <w:t xml:space="preserve">le and Intangible Information.” </w:t>
      </w:r>
      <w:r w:rsidRPr="007D47D4">
        <w:rPr>
          <w:bCs/>
          <w:i/>
          <w:kern w:val="32"/>
        </w:rPr>
        <w:t>The Journal of Finance</w:t>
      </w:r>
      <w:r w:rsidRPr="007D47D4">
        <w:rPr>
          <w:bCs/>
          <w:kern w:val="32"/>
        </w:rPr>
        <w:t>. 61:4, 1605-1643.</w:t>
      </w:r>
    </w:p>
    <w:p w14:paraId="0415DFBC" w14:textId="77777777" w:rsidR="00AE00E2" w:rsidRPr="007D47D4" w:rsidRDefault="00AE00E2" w:rsidP="00AE00E2">
      <w:pPr>
        <w:keepNext/>
        <w:keepLines/>
        <w:ind w:hanging="7"/>
        <w:jc w:val="both"/>
        <w:outlineLvl w:val="0"/>
        <w:rPr>
          <w:bCs/>
          <w:i/>
          <w:kern w:val="32"/>
        </w:rPr>
      </w:pPr>
    </w:p>
    <w:p w14:paraId="2C80A7C1" w14:textId="06796DCD" w:rsidR="00866EF7" w:rsidRDefault="00866EF7" w:rsidP="00AE00E2">
      <w:pPr>
        <w:keepNext/>
        <w:keepLines/>
        <w:ind w:hanging="7"/>
        <w:jc w:val="both"/>
        <w:outlineLvl w:val="0"/>
        <w:rPr>
          <w:bCs/>
          <w:kern w:val="32"/>
        </w:rPr>
      </w:pPr>
      <w:proofErr w:type="spellStart"/>
      <w:r w:rsidRPr="007D47D4">
        <w:rPr>
          <w:bCs/>
          <w:kern w:val="32"/>
        </w:rPr>
        <w:t>Elbannan</w:t>
      </w:r>
      <w:proofErr w:type="spellEnd"/>
      <w:r w:rsidRPr="007D47D4">
        <w:rPr>
          <w:bCs/>
          <w:kern w:val="32"/>
        </w:rPr>
        <w:t>, M. (2013) “Do Analysts Follow Emerging Econo</w:t>
      </w:r>
      <w:r w:rsidR="006167AE" w:rsidRPr="007D47D4">
        <w:rPr>
          <w:bCs/>
          <w:kern w:val="32"/>
        </w:rPr>
        <w:t xml:space="preserve">my Firms with Higher Intangible </w:t>
      </w:r>
      <w:r w:rsidRPr="007D47D4">
        <w:rPr>
          <w:bCs/>
          <w:kern w:val="32"/>
        </w:rPr>
        <w:t xml:space="preserve">Assets? Empirical Evidence from Egypt.” </w:t>
      </w:r>
      <w:r w:rsidRPr="007D47D4">
        <w:rPr>
          <w:bCs/>
          <w:i/>
          <w:kern w:val="32"/>
        </w:rPr>
        <w:t>Advances in Accounting</w:t>
      </w:r>
      <w:r w:rsidRPr="007D47D4">
        <w:rPr>
          <w:bCs/>
          <w:kern w:val="32"/>
        </w:rPr>
        <w:t>. 29:1, 50-59.</w:t>
      </w:r>
    </w:p>
    <w:p w14:paraId="5634DF53" w14:textId="77777777" w:rsidR="00AE00E2" w:rsidRPr="007D47D4" w:rsidRDefault="00AE00E2" w:rsidP="00AE00E2">
      <w:pPr>
        <w:keepNext/>
        <w:keepLines/>
        <w:ind w:hanging="7"/>
        <w:jc w:val="both"/>
        <w:outlineLvl w:val="0"/>
        <w:rPr>
          <w:bCs/>
          <w:kern w:val="32"/>
        </w:rPr>
      </w:pPr>
    </w:p>
    <w:p w14:paraId="72BC442D" w14:textId="2694BC6D" w:rsidR="005A05F7" w:rsidRDefault="006F6FAD" w:rsidP="00AE00E2">
      <w:pPr>
        <w:keepNext/>
        <w:keepLines/>
        <w:ind w:hanging="7"/>
        <w:jc w:val="both"/>
        <w:outlineLvl w:val="0"/>
        <w:rPr>
          <w:bCs/>
          <w:kern w:val="32"/>
        </w:rPr>
      </w:pPr>
      <w:proofErr w:type="spellStart"/>
      <w:r w:rsidRPr="007D47D4">
        <w:rPr>
          <w:bCs/>
          <w:kern w:val="32"/>
        </w:rPr>
        <w:t>Falato</w:t>
      </w:r>
      <w:proofErr w:type="spellEnd"/>
      <w:r w:rsidRPr="007D47D4">
        <w:rPr>
          <w:bCs/>
          <w:kern w:val="32"/>
        </w:rPr>
        <w:t xml:space="preserve">, A., </w:t>
      </w:r>
      <w:proofErr w:type="spellStart"/>
      <w:r w:rsidRPr="007D47D4">
        <w:rPr>
          <w:bCs/>
          <w:kern w:val="32"/>
        </w:rPr>
        <w:t>Kadyrzhanova</w:t>
      </w:r>
      <w:proofErr w:type="spellEnd"/>
      <w:r w:rsidRPr="007D47D4">
        <w:rPr>
          <w:bCs/>
          <w:kern w:val="32"/>
        </w:rPr>
        <w:t>, D. and J. Sim (2013) “Rising int</w:t>
      </w:r>
      <w:r w:rsidR="009C43B5" w:rsidRPr="007D47D4">
        <w:rPr>
          <w:bCs/>
          <w:kern w:val="32"/>
        </w:rPr>
        <w:t xml:space="preserve">angible capital, shrinking debt </w:t>
      </w:r>
      <w:r w:rsidRPr="007D47D4">
        <w:rPr>
          <w:bCs/>
          <w:kern w:val="32"/>
        </w:rPr>
        <w:t xml:space="preserve">capacity, and the US corporate savings glut.” Finance </w:t>
      </w:r>
      <w:r w:rsidR="009C43B5" w:rsidRPr="007D47D4">
        <w:rPr>
          <w:bCs/>
          <w:kern w:val="32"/>
        </w:rPr>
        <w:t xml:space="preserve">and Economics Discussion Series </w:t>
      </w:r>
      <w:r w:rsidRPr="007D47D4">
        <w:rPr>
          <w:bCs/>
          <w:kern w:val="32"/>
        </w:rPr>
        <w:t xml:space="preserve">2013-67. Board of </w:t>
      </w:r>
      <w:proofErr w:type="spellStart"/>
      <w:r w:rsidRPr="007D47D4">
        <w:rPr>
          <w:bCs/>
          <w:kern w:val="32"/>
        </w:rPr>
        <w:t>Govenors</w:t>
      </w:r>
      <w:proofErr w:type="spellEnd"/>
      <w:r w:rsidRPr="007D47D4">
        <w:rPr>
          <w:bCs/>
          <w:kern w:val="32"/>
        </w:rPr>
        <w:t xml:space="preserve"> of the Federal Reserve System, Washington DC.</w:t>
      </w:r>
    </w:p>
    <w:p w14:paraId="45685D8D" w14:textId="77777777" w:rsidR="00AE00E2" w:rsidRPr="007D47D4" w:rsidRDefault="00AE00E2" w:rsidP="00AE00E2">
      <w:pPr>
        <w:keepNext/>
        <w:keepLines/>
        <w:ind w:hanging="7"/>
        <w:jc w:val="both"/>
        <w:outlineLvl w:val="0"/>
        <w:rPr>
          <w:bCs/>
          <w:kern w:val="32"/>
        </w:rPr>
      </w:pPr>
    </w:p>
    <w:p w14:paraId="2C54BA85" w14:textId="15557964" w:rsidR="00AD2122" w:rsidRDefault="00AD2122" w:rsidP="00AE00E2">
      <w:pPr>
        <w:keepNext/>
        <w:keepLines/>
        <w:ind w:hanging="7"/>
        <w:jc w:val="both"/>
        <w:outlineLvl w:val="0"/>
      </w:pPr>
      <w:proofErr w:type="spellStart"/>
      <w:r w:rsidRPr="007D47D4">
        <w:t>Golec</w:t>
      </w:r>
      <w:proofErr w:type="spellEnd"/>
      <w:r w:rsidRPr="007D47D4">
        <w:t xml:space="preserve">, Joseph, and Gupta, </w:t>
      </w:r>
      <w:proofErr w:type="spellStart"/>
      <w:r w:rsidRPr="007D47D4">
        <w:t>Neeraj</w:t>
      </w:r>
      <w:proofErr w:type="spellEnd"/>
      <w:r w:rsidRPr="007D47D4">
        <w:t xml:space="preserve"> J. (2014). “Do Investments in Intangible Cus</w:t>
      </w:r>
      <w:r w:rsidR="009C43B5" w:rsidRPr="007D47D4">
        <w:t xml:space="preserve">tomer Assets </w:t>
      </w:r>
      <w:r w:rsidRPr="007D47D4">
        <w:t xml:space="preserve">Affect Firm Value?”  </w:t>
      </w:r>
      <w:r w:rsidRPr="007D47D4">
        <w:rPr>
          <w:i/>
        </w:rPr>
        <w:t>The Quarterly Review of Economics and Finance</w:t>
      </w:r>
      <w:r w:rsidRPr="007D47D4">
        <w:t>. Vol. 54, 513-520.</w:t>
      </w:r>
    </w:p>
    <w:p w14:paraId="4FD9C15D" w14:textId="77777777" w:rsidR="00AE00E2" w:rsidRPr="007D47D4" w:rsidRDefault="00AE00E2" w:rsidP="00AE00E2">
      <w:pPr>
        <w:keepNext/>
        <w:keepLines/>
        <w:ind w:hanging="7"/>
        <w:jc w:val="both"/>
        <w:outlineLvl w:val="0"/>
      </w:pPr>
    </w:p>
    <w:p w14:paraId="153D09CE" w14:textId="2F21E146" w:rsidR="006F6FAD" w:rsidRPr="007D47D4" w:rsidRDefault="007B0245" w:rsidP="00AE00E2">
      <w:pPr>
        <w:keepNext/>
        <w:keepLines/>
        <w:ind w:hanging="7"/>
        <w:jc w:val="both"/>
        <w:outlineLvl w:val="0"/>
        <w:rPr>
          <w:bCs/>
          <w:kern w:val="32"/>
        </w:rPr>
      </w:pPr>
      <w:proofErr w:type="spellStart"/>
      <w:r w:rsidRPr="007D47D4">
        <w:rPr>
          <w:bCs/>
          <w:kern w:val="32"/>
        </w:rPr>
        <w:t>Maji</w:t>
      </w:r>
      <w:proofErr w:type="spellEnd"/>
      <w:r w:rsidRPr="007D47D4">
        <w:rPr>
          <w:bCs/>
          <w:kern w:val="32"/>
        </w:rPr>
        <w:t xml:space="preserve">, S., </w:t>
      </w:r>
      <w:proofErr w:type="spellStart"/>
      <w:r w:rsidRPr="007D47D4">
        <w:rPr>
          <w:bCs/>
          <w:kern w:val="32"/>
        </w:rPr>
        <w:t>Mitra</w:t>
      </w:r>
      <w:proofErr w:type="spellEnd"/>
      <w:r w:rsidRPr="007D47D4">
        <w:rPr>
          <w:bCs/>
          <w:kern w:val="32"/>
        </w:rPr>
        <w:t>, S. and D. Sur (2014) “Disintegrating Return on</w:t>
      </w:r>
      <w:r w:rsidR="009C43B5" w:rsidRPr="007D47D4">
        <w:rPr>
          <w:bCs/>
          <w:kern w:val="32"/>
        </w:rPr>
        <w:t xml:space="preserve"> Equity Using the DuPont Model: </w:t>
      </w:r>
      <w:r w:rsidRPr="007D47D4">
        <w:rPr>
          <w:bCs/>
          <w:kern w:val="32"/>
        </w:rPr>
        <w:t xml:space="preserve">A Case Study of Tata Steel Ltd.” </w:t>
      </w:r>
      <w:r w:rsidRPr="007D47D4">
        <w:rPr>
          <w:bCs/>
          <w:i/>
          <w:kern w:val="32"/>
        </w:rPr>
        <w:t>Journal of Management Research in Emerging Economies</w:t>
      </w:r>
      <w:r w:rsidRPr="007D47D4">
        <w:rPr>
          <w:bCs/>
          <w:kern w:val="32"/>
        </w:rPr>
        <w:t>. 2:2. 84-97.</w:t>
      </w:r>
    </w:p>
    <w:p w14:paraId="1B3AC91B" w14:textId="77777777" w:rsidR="00A235FD" w:rsidRPr="007D47D4" w:rsidRDefault="00A235FD" w:rsidP="004A3E1C">
      <w:pPr>
        <w:spacing w:after="200" w:line="276" w:lineRule="auto"/>
        <w:rPr>
          <w:b/>
          <w:bCs/>
          <w:kern w:val="32"/>
        </w:rPr>
      </w:pPr>
    </w:p>
    <w:sectPr w:rsidR="00A235FD" w:rsidRPr="007D47D4" w:rsidSect="00912E11">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ED2B" w14:textId="77777777" w:rsidR="00575F4B" w:rsidRDefault="00575F4B" w:rsidP="005D0F47">
      <w:r>
        <w:separator/>
      </w:r>
    </w:p>
  </w:endnote>
  <w:endnote w:type="continuationSeparator" w:id="0">
    <w:p w14:paraId="4E8AAF3C" w14:textId="77777777" w:rsidR="00575F4B" w:rsidRDefault="00575F4B" w:rsidP="005D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1208"/>
      <w:docPartObj>
        <w:docPartGallery w:val="Page Numbers (Bottom of Page)"/>
        <w:docPartUnique/>
      </w:docPartObj>
    </w:sdtPr>
    <w:sdtEndPr/>
    <w:sdtContent>
      <w:p w14:paraId="471FCF9D" w14:textId="77777777" w:rsidR="00F0249A" w:rsidRDefault="00F0249A">
        <w:pPr>
          <w:pStyle w:val="Footer"/>
          <w:jc w:val="center"/>
        </w:pPr>
        <w:r>
          <w:fldChar w:fldCharType="begin"/>
        </w:r>
        <w:r>
          <w:instrText xml:space="preserve"> PAGE   \* MERGEFORMAT </w:instrText>
        </w:r>
        <w:r>
          <w:fldChar w:fldCharType="separate"/>
        </w:r>
        <w:r w:rsidR="00071985">
          <w:rPr>
            <w:noProof/>
          </w:rPr>
          <w:t>10</w:t>
        </w:r>
        <w:r>
          <w:rPr>
            <w:noProof/>
          </w:rPr>
          <w:fldChar w:fldCharType="end"/>
        </w:r>
      </w:p>
    </w:sdtContent>
  </w:sdt>
  <w:p w14:paraId="2A6C985F" w14:textId="77777777" w:rsidR="00F0249A" w:rsidRDefault="00F02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FC3CF" w14:textId="77777777" w:rsidR="00575F4B" w:rsidRDefault="00575F4B" w:rsidP="005D0F47">
      <w:r>
        <w:separator/>
      </w:r>
    </w:p>
  </w:footnote>
  <w:footnote w:type="continuationSeparator" w:id="0">
    <w:p w14:paraId="5A83F5F9" w14:textId="77777777" w:rsidR="00575F4B" w:rsidRDefault="00575F4B" w:rsidP="005D0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D5"/>
    <w:multiLevelType w:val="hybridMultilevel"/>
    <w:tmpl w:val="DDEE7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02DE"/>
    <w:multiLevelType w:val="multilevel"/>
    <w:tmpl w:val="F0F8D97A"/>
    <w:lvl w:ilvl="0">
      <w:start w:val="1"/>
      <w:numFmt w:val="upperRoman"/>
      <w:pStyle w:val="Heading1"/>
      <w:lvlText w:val="%1."/>
      <w:lvlJc w:val="right"/>
      <w:pPr>
        <w:tabs>
          <w:tab w:val="num" w:pos="360"/>
        </w:tabs>
        <w:ind w:left="0" w:firstLine="0"/>
      </w:pPr>
      <w:rPr>
        <w:rFonts w:ascii="Garamond" w:hAnsi="Garamond" w:hint="default"/>
        <w:b/>
        <w:sz w:val="28"/>
        <w:szCs w:val="28"/>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23AB09D1"/>
    <w:multiLevelType w:val="hybridMultilevel"/>
    <w:tmpl w:val="EFD69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778D0"/>
    <w:multiLevelType w:val="hybridMultilevel"/>
    <w:tmpl w:val="36C6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67667"/>
    <w:multiLevelType w:val="multilevel"/>
    <w:tmpl w:val="2E5E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5D0F47"/>
    <w:rsid w:val="00005042"/>
    <w:rsid w:val="000117CE"/>
    <w:rsid w:val="00011C13"/>
    <w:rsid w:val="00031610"/>
    <w:rsid w:val="0004146A"/>
    <w:rsid w:val="000434FC"/>
    <w:rsid w:val="00045663"/>
    <w:rsid w:val="000633F9"/>
    <w:rsid w:val="00071985"/>
    <w:rsid w:val="00072291"/>
    <w:rsid w:val="00076321"/>
    <w:rsid w:val="00093D7E"/>
    <w:rsid w:val="000A0E82"/>
    <w:rsid w:val="000A5200"/>
    <w:rsid w:val="000B7855"/>
    <w:rsid w:val="000C7741"/>
    <w:rsid w:val="000D186B"/>
    <w:rsid w:val="000D4244"/>
    <w:rsid w:val="000D66FD"/>
    <w:rsid w:val="000E3AAC"/>
    <w:rsid w:val="000F0694"/>
    <w:rsid w:val="000F5CE1"/>
    <w:rsid w:val="00110573"/>
    <w:rsid w:val="001116F3"/>
    <w:rsid w:val="00113F63"/>
    <w:rsid w:val="00114B5B"/>
    <w:rsid w:val="001165C7"/>
    <w:rsid w:val="001168B6"/>
    <w:rsid w:val="001201DA"/>
    <w:rsid w:val="001257BE"/>
    <w:rsid w:val="00127963"/>
    <w:rsid w:val="00134A2A"/>
    <w:rsid w:val="00142182"/>
    <w:rsid w:val="0015542C"/>
    <w:rsid w:val="0016376E"/>
    <w:rsid w:val="0017298A"/>
    <w:rsid w:val="001744FC"/>
    <w:rsid w:val="0018070D"/>
    <w:rsid w:val="001834BF"/>
    <w:rsid w:val="0018714A"/>
    <w:rsid w:val="00196E67"/>
    <w:rsid w:val="001A1CB5"/>
    <w:rsid w:val="001A33CE"/>
    <w:rsid w:val="001B5A1D"/>
    <w:rsid w:val="001B6DB0"/>
    <w:rsid w:val="001D6DBE"/>
    <w:rsid w:val="001E58BD"/>
    <w:rsid w:val="001E609D"/>
    <w:rsid w:val="001F209C"/>
    <w:rsid w:val="001F6986"/>
    <w:rsid w:val="002034D9"/>
    <w:rsid w:val="0021785A"/>
    <w:rsid w:val="00217A52"/>
    <w:rsid w:val="002209B1"/>
    <w:rsid w:val="00237F7E"/>
    <w:rsid w:val="00254310"/>
    <w:rsid w:val="00254A12"/>
    <w:rsid w:val="0026205A"/>
    <w:rsid w:val="00273ABE"/>
    <w:rsid w:val="00290718"/>
    <w:rsid w:val="002941F3"/>
    <w:rsid w:val="002B4B53"/>
    <w:rsid w:val="002B5966"/>
    <w:rsid w:val="002C0D90"/>
    <w:rsid w:val="002C1027"/>
    <w:rsid w:val="002C5F8B"/>
    <w:rsid w:val="002E1515"/>
    <w:rsid w:val="002E7531"/>
    <w:rsid w:val="003073D7"/>
    <w:rsid w:val="00323E29"/>
    <w:rsid w:val="0032698C"/>
    <w:rsid w:val="00332479"/>
    <w:rsid w:val="00345779"/>
    <w:rsid w:val="003545CE"/>
    <w:rsid w:val="003550EF"/>
    <w:rsid w:val="00364A7D"/>
    <w:rsid w:val="00377138"/>
    <w:rsid w:val="0039293C"/>
    <w:rsid w:val="003A568D"/>
    <w:rsid w:val="003C15D5"/>
    <w:rsid w:val="00421626"/>
    <w:rsid w:val="0042437A"/>
    <w:rsid w:val="004262B5"/>
    <w:rsid w:val="0042773E"/>
    <w:rsid w:val="004361F7"/>
    <w:rsid w:val="0043749F"/>
    <w:rsid w:val="004507AC"/>
    <w:rsid w:val="0045314C"/>
    <w:rsid w:val="004574BF"/>
    <w:rsid w:val="0046193B"/>
    <w:rsid w:val="00462CD8"/>
    <w:rsid w:val="00464561"/>
    <w:rsid w:val="004825BC"/>
    <w:rsid w:val="004956D8"/>
    <w:rsid w:val="004A3E1C"/>
    <w:rsid w:val="004B1E7D"/>
    <w:rsid w:val="004B70AE"/>
    <w:rsid w:val="004C4A15"/>
    <w:rsid w:val="004D47D4"/>
    <w:rsid w:val="004E01BE"/>
    <w:rsid w:val="004E7997"/>
    <w:rsid w:val="004F1426"/>
    <w:rsid w:val="004F1F6E"/>
    <w:rsid w:val="004F3F41"/>
    <w:rsid w:val="00523BD7"/>
    <w:rsid w:val="00534BC2"/>
    <w:rsid w:val="00544EE6"/>
    <w:rsid w:val="00562FDB"/>
    <w:rsid w:val="0057275B"/>
    <w:rsid w:val="00575F4B"/>
    <w:rsid w:val="00581B61"/>
    <w:rsid w:val="005A05F7"/>
    <w:rsid w:val="005A41DB"/>
    <w:rsid w:val="005D0F47"/>
    <w:rsid w:val="005D0F5F"/>
    <w:rsid w:val="005D5CFC"/>
    <w:rsid w:val="005F591A"/>
    <w:rsid w:val="00602F40"/>
    <w:rsid w:val="006047DF"/>
    <w:rsid w:val="006167AE"/>
    <w:rsid w:val="00620301"/>
    <w:rsid w:val="00645BC5"/>
    <w:rsid w:val="006463D5"/>
    <w:rsid w:val="00652582"/>
    <w:rsid w:val="0065670C"/>
    <w:rsid w:val="00662996"/>
    <w:rsid w:val="00673ED3"/>
    <w:rsid w:val="00681160"/>
    <w:rsid w:val="00691274"/>
    <w:rsid w:val="00694378"/>
    <w:rsid w:val="006B18F4"/>
    <w:rsid w:val="006B459B"/>
    <w:rsid w:val="006B5965"/>
    <w:rsid w:val="006B75B7"/>
    <w:rsid w:val="006D4B5F"/>
    <w:rsid w:val="006E6A3B"/>
    <w:rsid w:val="006F3B8B"/>
    <w:rsid w:val="006F6257"/>
    <w:rsid w:val="006F6FAD"/>
    <w:rsid w:val="006F7ED3"/>
    <w:rsid w:val="007061CB"/>
    <w:rsid w:val="00710D65"/>
    <w:rsid w:val="00714E47"/>
    <w:rsid w:val="007312C1"/>
    <w:rsid w:val="0075071A"/>
    <w:rsid w:val="00751F6F"/>
    <w:rsid w:val="00753EBE"/>
    <w:rsid w:val="00755CA0"/>
    <w:rsid w:val="00770EEF"/>
    <w:rsid w:val="00781C1C"/>
    <w:rsid w:val="00783293"/>
    <w:rsid w:val="0078345E"/>
    <w:rsid w:val="007922E8"/>
    <w:rsid w:val="007B0245"/>
    <w:rsid w:val="007B55D8"/>
    <w:rsid w:val="007C078E"/>
    <w:rsid w:val="007D4500"/>
    <w:rsid w:val="007D47D4"/>
    <w:rsid w:val="007D4A9B"/>
    <w:rsid w:val="007D6A0E"/>
    <w:rsid w:val="008114F8"/>
    <w:rsid w:val="008214EA"/>
    <w:rsid w:val="008309FA"/>
    <w:rsid w:val="00837BDF"/>
    <w:rsid w:val="00840D6C"/>
    <w:rsid w:val="00851CE0"/>
    <w:rsid w:val="00866EF7"/>
    <w:rsid w:val="00875BDA"/>
    <w:rsid w:val="00876DC8"/>
    <w:rsid w:val="0088168D"/>
    <w:rsid w:val="00887B3F"/>
    <w:rsid w:val="0089053C"/>
    <w:rsid w:val="00896060"/>
    <w:rsid w:val="008A1CE8"/>
    <w:rsid w:val="008B5944"/>
    <w:rsid w:val="008C41DC"/>
    <w:rsid w:val="008D03D8"/>
    <w:rsid w:val="008E09B1"/>
    <w:rsid w:val="008F2B45"/>
    <w:rsid w:val="00902439"/>
    <w:rsid w:val="00905EB3"/>
    <w:rsid w:val="00911269"/>
    <w:rsid w:val="00912E11"/>
    <w:rsid w:val="00936459"/>
    <w:rsid w:val="00937E13"/>
    <w:rsid w:val="009431E9"/>
    <w:rsid w:val="00947115"/>
    <w:rsid w:val="00951B95"/>
    <w:rsid w:val="00962AF6"/>
    <w:rsid w:val="00963FB6"/>
    <w:rsid w:val="00965993"/>
    <w:rsid w:val="00974A54"/>
    <w:rsid w:val="00974D5B"/>
    <w:rsid w:val="009839AD"/>
    <w:rsid w:val="0099011F"/>
    <w:rsid w:val="00991B03"/>
    <w:rsid w:val="009923E7"/>
    <w:rsid w:val="009A4AE9"/>
    <w:rsid w:val="009A510C"/>
    <w:rsid w:val="009B2E4E"/>
    <w:rsid w:val="009C43B5"/>
    <w:rsid w:val="009D112D"/>
    <w:rsid w:val="009E549F"/>
    <w:rsid w:val="009F10CC"/>
    <w:rsid w:val="009F3A15"/>
    <w:rsid w:val="00A20016"/>
    <w:rsid w:val="00A235FD"/>
    <w:rsid w:val="00A23D84"/>
    <w:rsid w:val="00A26AE1"/>
    <w:rsid w:val="00A5249D"/>
    <w:rsid w:val="00A57533"/>
    <w:rsid w:val="00A57A28"/>
    <w:rsid w:val="00A67641"/>
    <w:rsid w:val="00A805B7"/>
    <w:rsid w:val="00A824DB"/>
    <w:rsid w:val="00A92215"/>
    <w:rsid w:val="00A947F5"/>
    <w:rsid w:val="00AB45CC"/>
    <w:rsid w:val="00AD2122"/>
    <w:rsid w:val="00AE00E2"/>
    <w:rsid w:val="00AE2785"/>
    <w:rsid w:val="00AF22C1"/>
    <w:rsid w:val="00B04311"/>
    <w:rsid w:val="00B20117"/>
    <w:rsid w:val="00B20E02"/>
    <w:rsid w:val="00B222FA"/>
    <w:rsid w:val="00B349D6"/>
    <w:rsid w:val="00B66B6B"/>
    <w:rsid w:val="00B67291"/>
    <w:rsid w:val="00B703A8"/>
    <w:rsid w:val="00B77199"/>
    <w:rsid w:val="00B92FE5"/>
    <w:rsid w:val="00BA34CE"/>
    <w:rsid w:val="00BA4109"/>
    <w:rsid w:val="00BA6E08"/>
    <w:rsid w:val="00BB2820"/>
    <w:rsid w:val="00BB6549"/>
    <w:rsid w:val="00BD25B6"/>
    <w:rsid w:val="00BD4EC2"/>
    <w:rsid w:val="00BD7CB4"/>
    <w:rsid w:val="00BE213C"/>
    <w:rsid w:val="00BE3A6B"/>
    <w:rsid w:val="00BE7922"/>
    <w:rsid w:val="00C01896"/>
    <w:rsid w:val="00C0555F"/>
    <w:rsid w:val="00C11C22"/>
    <w:rsid w:val="00C21347"/>
    <w:rsid w:val="00C24FBD"/>
    <w:rsid w:val="00C35542"/>
    <w:rsid w:val="00C3728D"/>
    <w:rsid w:val="00C41ECB"/>
    <w:rsid w:val="00C44ACC"/>
    <w:rsid w:val="00C44E6F"/>
    <w:rsid w:val="00C47C91"/>
    <w:rsid w:val="00C51FB9"/>
    <w:rsid w:val="00C56451"/>
    <w:rsid w:val="00C66BC7"/>
    <w:rsid w:val="00C71BEF"/>
    <w:rsid w:val="00C84D7D"/>
    <w:rsid w:val="00C87BF2"/>
    <w:rsid w:val="00C90636"/>
    <w:rsid w:val="00C9337C"/>
    <w:rsid w:val="00C9486F"/>
    <w:rsid w:val="00C949DE"/>
    <w:rsid w:val="00C96C4C"/>
    <w:rsid w:val="00CB1DF8"/>
    <w:rsid w:val="00CB39C8"/>
    <w:rsid w:val="00CC077B"/>
    <w:rsid w:val="00CC1FE9"/>
    <w:rsid w:val="00CD1C64"/>
    <w:rsid w:val="00CE72ED"/>
    <w:rsid w:val="00CF1096"/>
    <w:rsid w:val="00CF2480"/>
    <w:rsid w:val="00CF7FC5"/>
    <w:rsid w:val="00D03CAA"/>
    <w:rsid w:val="00D14771"/>
    <w:rsid w:val="00D23141"/>
    <w:rsid w:val="00D27A34"/>
    <w:rsid w:val="00D35808"/>
    <w:rsid w:val="00D41BC0"/>
    <w:rsid w:val="00D51395"/>
    <w:rsid w:val="00D53A0D"/>
    <w:rsid w:val="00D7537C"/>
    <w:rsid w:val="00D76C5B"/>
    <w:rsid w:val="00D97AD6"/>
    <w:rsid w:val="00DA6AEC"/>
    <w:rsid w:val="00DB7282"/>
    <w:rsid w:val="00DC3DA4"/>
    <w:rsid w:val="00DC7852"/>
    <w:rsid w:val="00DD0F3C"/>
    <w:rsid w:val="00DD7110"/>
    <w:rsid w:val="00DF1177"/>
    <w:rsid w:val="00DF73CB"/>
    <w:rsid w:val="00E02700"/>
    <w:rsid w:val="00E03A10"/>
    <w:rsid w:val="00E04EED"/>
    <w:rsid w:val="00E0655B"/>
    <w:rsid w:val="00E2293A"/>
    <w:rsid w:val="00E600C8"/>
    <w:rsid w:val="00E62434"/>
    <w:rsid w:val="00E6361B"/>
    <w:rsid w:val="00E739CF"/>
    <w:rsid w:val="00E86154"/>
    <w:rsid w:val="00E90D33"/>
    <w:rsid w:val="00E913C2"/>
    <w:rsid w:val="00E97B66"/>
    <w:rsid w:val="00EA4B24"/>
    <w:rsid w:val="00EC2C8B"/>
    <w:rsid w:val="00EC6536"/>
    <w:rsid w:val="00EC6F7D"/>
    <w:rsid w:val="00ED2C2E"/>
    <w:rsid w:val="00EF0DD0"/>
    <w:rsid w:val="00F0249A"/>
    <w:rsid w:val="00F100F4"/>
    <w:rsid w:val="00F10135"/>
    <w:rsid w:val="00F17736"/>
    <w:rsid w:val="00F24E27"/>
    <w:rsid w:val="00F2728F"/>
    <w:rsid w:val="00F31B41"/>
    <w:rsid w:val="00F512DC"/>
    <w:rsid w:val="00F5587D"/>
    <w:rsid w:val="00F63DA2"/>
    <w:rsid w:val="00F74350"/>
    <w:rsid w:val="00F74DF3"/>
    <w:rsid w:val="00F76B7F"/>
    <w:rsid w:val="00F81A84"/>
    <w:rsid w:val="00F975F1"/>
    <w:rsid w:val="00FB05CD"/>
    <w:rsid w:val="00FB3045"/>
    <w:rsid w:val="00FB3190"/>
    <w:rsid w:val="00FB33F0"/>
    <w:rsid w:val="00FB70B3"/>
    <w:rsid w:val="00FB7D48"/>
    <w:rsid w:val="00FD6ABB"/>
    <w:rsid w:val="00FE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BA74"/>
  <w15:docId w15:val="{A85EF389-39D1-4280-86E0-4D174E9A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0F47"/>
    <w:pPr>
      <w:keepNext/>
      <w:numPr>
        <w:numId w:val="1"/>
      </w:numPr>
      <w:spacing w:before="240" w:after="60" w:line="360" w:lineRule="auto"/>
      <w:jc w:val="both"/>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D0F47"/>
    <w:pPr>
      <w:keepNext/>
      <w:numPr>
        <w:ilvl w:val="1"/>
        <w:numId w:val="1"/>
      </w:numPr>
      <w:spacing w:before="240" w:after="60" w:line="360" w:lineRule="auto"/>
      <w:jc w:val="both"/>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D0F47"/>
    <w:pPr>
      <w:keepNext/>
      <w:numPr>
        <w:ilvl w:val="2"/>
        <w:numId w:val="1"/>
      </w:numPr>
      <w:spacing w:before="240" w:after="60" w:line="360" w:lineRule="auto"/>
      <w:jc w:val="both"/>
      <w:outlineLvl w:val="2"/>
    </w:pPr>
    <w:rPr>
      <w:rFonts w:ascii="Arial" w:hAnsi="Arial" w:cs="Arial"/>
      <w:b/>
      <w:bCs/>
      <w:sz w:val="26"/>
      <w:szCs w:val="26"/>
    </w:rPr>
  </w:style>
  <w:style w:type="paragraph" w:styleId="Heading4">
    <w:name w:val="heading 4"/>
    <w:basedOn w:val="Normal"/>
    <w:next w:val="Normal"/>
    <w:link w:val="Heading4Char"/>
    <w:uiPriority w:val="9"/>
    <w:qFormat/>
    <w:rsid w:val="005D0F47"/>
    <w:pPr>
      <w:keepNext/>
      <w:numPr>
        <w:ilvl w:val="3"/>
        <w:numId w:val="1"/>
      </w:numPr>
      <w:spacing w:before="240" w:after="60" w:line="360" w:lineRule="auto"/>
      <w:jc w:val="both"/>
      <w:outlineLvl w:val="3"/>
    </w:pPr>
    <w:rPr>
      <w:b/>
      <w:bCs/>
      <w:sz w:val="28"/>
      <w:szCs w:val="28"/>
    </w:rPr>
  </w:style>
  <w:style w:type="paragraph" w:styleId="Heading5">
    <w:name w:val="heading 5"/>
    <w:basedOn w:val="Normal"/>
    <w:next w:val="Normal"/>
    <w:link w:val="Heading5Char"/>
    <w:uiPriority w:val="9"/>
    <w:qFormat/>
    <w:rsid w:val="005D0F47"/>
    <w:pPr>
      <w:numPr>
        <w:ilvl w:val="4"/>
        <w:numId w:val="1"/>
      </w:numPr>
      <w:spacing w:before="240" w:after="60" w:line="360" w:lineRule="auto"/>
      <w:jc w:val="both"/>
      <w:outlineLvl w:val="4"/>
    </w:pPr>
    <w:rPr>
      <w:b/>
      <w:bCs/>
      <w:i/>
      <w:iCs/>
      <w:sz w:val="26"/>
      <w:szCs w:val="26"/>
    </w:rPr>
  </w:style>
  <w:style w:type="paragraph" w:styleId="Heading6">
    <w:name w:val="heading 6"/>
    <w:basedOn w:val="Normal"/>
    <w:next w:val="Normal"/>
    <w:link w:val="Heading6Char"/>
    <w:uiPriority w:val="9"/>
    <w:qFormat/>
    <w:rsid w:val="005D0F47"/>
    <w:pPr>
      <w:numPr>
        <w:ilvl w:val="5"/>
        <w:numId w:val="1"/>
      </w:numPr>
      <w:spacing w:before="240" w:after="60" w:line="360" w:lineRule="auto"/>
      <w:jc w:val="both"/>
      <w:outlineLvl w:val="5"/>
    </w:pPr>
    <w:rPr>
      <w:b/>
      <w:bCs/>
      <w:sz w:val="22"/>
      <w:szCs w:val="22"/>
    </w:rPr>
  </w:style>
  <w:style w:type="paragraph" w:styleId="Heading7">
    <w:name w:val="heading 7"/>
    <w:basedOn w:val="Normal"/>
    <w:next w:val="Normal"/>
    <w:link w:val="Heading7Char"/>
    <w:uiPriority w:val="9"/>
    <w:qFormat/>
    <w:rsid w:val="005D0F47"/>
    <w:pPr>
      <w:numPr>
        <w:ilvl w:val="6"/>
        <w:numId w:val="1"/>
      </w:numPr>
      <w:spacing w:before="240" w:after="60" w:line="360" w:lineRule="auto"/>
      <w:jc w:val="both"/>
      <w:outlineLvl w:val="6"/>
    </w:pPr>
  </w:style>
  <w:style w:type="paragraph" w:styleId="Heading8">
    <w:name w:val="heading 8"/>
    <w:basedOn w:val="Normal"/>
    <w:next w:val="Normal"/>
    <w:link w:val="Heading8Char"/>
    <w:uiPriority w:val="9"/>
    <w:qFormat/>
    <w:rsid w:val="005D0F47"/>
    <w:pPr>
      <w:numPr>
        <w:ilvl w:val="7"/>
        <w:numId w:val="1"/>
      </w:numPr>
      <w:spacing w:before="240" w:after="60" w:line="360" w:lineRule="auto"/>
      <w:jc w:val="both"/>
      <w:outlineLvl w:val="7"/>
    </w:pPr>
    <w:rPr>
      <w:i/>
      <w:iCs/>
    </w:rPr>
  </w:style>
  <w:style w:type="paragraph" w:styleId="Heading9">
    <w:name w:val="heading 9"/>
    <w:basedOn w:val="Normal"/>
    <w:next w:val="Normal"/>
    <w:link w:val="Heading9Char"/>
    <w:uiPriority w:val="9"/>
    <w:qFormat/>
    <w:rsid w:val="005D0F47"/>
    <w:pPr>
      <w:numPr>
        <w:ilvl w:val="8"/>
        <w:numId w:val="1"/>
      </w:numPr>
      <w:spacing w:before="240" w:after="60" w:line="360"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0F47"/>
    <w:pPr>
      <w:jc w:val="center"/>
    </w:pPr>
    <w:rPr>
      <w:rFonts w:ascii="Arial" w:hAnsi="Arial" w:cs="Arial"/>
      <w:b/>
    </w:rPr>
  </w:style>
  <w:style w:type="character" w:customStyle="1" w:styleId="TitleChar">
    <w:name w:val="Title Char"/>
    <w:basedOn w:val="DefaultParagraphFont"/>
    <w:link w:val="Title"/>
    <w:rsid w:val="005D0F47"/>
    <w:rPr>
      <w:rFonts w:ascii="Arial" w:eastAsia="Times New Roman" w:hAnsi="Arial" w:cs="Arial"/>
      <w:b/>
      <w:sz w:val="24"/>
      <w:szCs w:val="24"/>
    </w:rPr>
  </w:style>
  <w:style w:type="paragraph" w:customStyle="1" w:styleId="JFEParagraph1">
    <w:name w:val="JFE Paragraph 1"/>
    <w:basedOn w:val="Normal"/>
    <w:qFormat/>
    <w:rsid w:val="005D0F47"/>
    <w:pPr>
      <w:spacing w:line="480" w:lineRule="auto"/>
      <w:ind w:firstLine="720"/>
      <w:jc w:val="both"/>
    </w:pPr>
    <w:rPr>
      <w:szCs w:val="22"/>
    </w:rPr>
  </w:style>
  <w:style w:type="paragraph" w:styleId="NormalWeb">
    <w:name w:val="Normal (Web)"/>
    <w:basedOn w:val="Normal"/>
    <w:uiPriority w:val="99"/>
    <w:rsid w:val="005D0F47"/>
    <w:pPr>
      <w:spacing w:before="100" w:beforeAutospacing="1" w:after="100" w:afterAutospacing="1" w:line="360" w:lineRule="auto"/>
      <w:jc w:val="both"/>
    </w:pPr>
  </w:style>
  <w:style w:type="character" w:styleId="FootnoteReference">
    <w:name w:val="footnote reference"/>
    <w:basedOn w:val="DefaultParagraphFont"/>
    <w:uiPriority w:val="99"/>
    <w:semiHidden/>
    <w:rsid w:val="005D0F47"/>
    <w:rPr>
      <w:vertAlign w:val="superscript"/>
    </w:rPr>
  </w:style>
  <w:style w:type="paragraph" w:styleId="FootnoteText">
    <w:name w:val="footnote text"/>
    <w:basedOn w:val="Normal"/>
    <w:link w:val="FootnoteTextChar"/>
    <w:uiPriority w:val="99"/>
    <w:rsid w:val="005D0F47"/>
    <w:pPr>
      <w:spacing w:line="360" w:lineRule="auto"/>
      <w:jc w:val="both"/>
    </w:pPr>
    <w:rPr>
      <w:sz w:val="20"/>
      <w:szCs w:val="20"/>
    </w:rPr>
  </w:style>
  <w:style w:type="character" w:customStyle="1" w:styleId="FootnoteTextChar">
    <w:name w:val="Footnote Text Char"/>
    <w:basedOn w:val="DefaultParagraphFont"/>
    <w:link w:val="FootnoteText"/>
    <w:uiPriority w:val="99"/>
    <w:rsid w:val="005D0F4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D0F47"/>
    <w:rPr>
      <w:color w:val="808080"/>
    </w:rPr>
  </w:style>
  <w:style w:type="paragraph" w:styleId="BalloonText">
    <w:name w:val="Balloon Text"/>
    <w:basedOn w:val="Normal"/>
    <w:link w:val="BalloonTextChar"/>
    <w:uiPriority w:val="99"/>
    <w:semiHidden/>
    <w:unhideWhenUsed/>
    <w:rsid w:val="005D0F47"/>
    <w:rPr>
      <w:rFonts w:ascii="Tahoma" w:hAnsi="Tahoma" w:cs="Tahoma"/>
      <w:sz w:val="16"/>
      <w:szCs w:val="16"/>
    </w:rPr>
  </w:style>
  <w:style w:type="character" w:customStyle="1" w:styleId="BalloonTextChar">
    <w:name w:val="Balloon Text Char"/>
    <w:basedOn w:val="DefaultParagraphFont"/>
    <w:link w:val="BalloonText"/>
    <w:uiPriority w:val="99"/>
    <w:semiHidden/>
    <w:rsid w:val="005D0F47"/>
    <w:rPr>
      <w:rFonts w:ascii="Tahoma" w:eastAsia="Times New Roman" w:hAnsi="Tahoma" w:cs="Tahoma"/>
      <w:sz w:val="16"/>
      <w:szCs w:val="16"/>
    </w:rPr>
  </w:style>
  <w:style w:type="character" w:customStyle="1" w:styleId="Heading1Char">
    <w:name w:val="Heading 1 Char"/>
    <w:basedOn w:val="DefaultParagraphFont"/>
    <w:link w:val="Heading1"/>
    <w:uiPriority w:val="9"/>
    <w:rsid w:val="005D0F47"/>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D0F47"/>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5D0F47"/>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5D0F4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5D0F4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5D0F47"/>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5D0F47"/>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5D0F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5D0F47"/>
    <w:rPr>
      <w:rFonts w:ascii="Arial" w:eastAsia="Times New Roman" w:hAnsi="Arial" w:cs="Arial"/>
    </w:rPr>
  </w:style>
  <w:style w:type="paragraph" w:styleId="ListParagraph">
    <w:name w:val="List Paragraph"/>
    <w:basedOn w:val="Normal"/>
    <w:uiPriority w:val="34"/>
    <w:qFormat/>
    <w:rsid w:val="004956D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912E11"/>
    <w:pPr>
      <w:tabs>
        <w:tab w:val="center" w:pos="4680"/>
        <w:tab w:val="right" w:pos="9360"/>
      </w:tabs>
    </w:pPr>
  </w:style>
  <w:style w:type="character" w:customStyle="1" w:styleId="HeaderChar">
    <w:name w:val="Header Char"/>
    <w:basedOn w:val="DefaultParagraphFont"/>
    <w:link w:val="Header"/>
    <w:uiPriority w:val="99"/>
    <w:semiHidden/>
    <w:rsid w:val="00912E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E11"/>
    <w:pPr>
      <w:tabs>
        <w:tab w:val="center" w:pos="4680"/>
        <w:tab w:val="right" w:pos="9360"/>
      </w:tabs>
    </w:pPr>
  </w:style>
  <w:style w:type="character" w:customStyle="1" w:styleId="FooterChar">
    <w:name w:val="Footer Char"/>
    <w:basedOn w:val="DefaultParagraphFont"/>
    <w:link w:val="Footer"/>
    <w:uiPriority w:val="99"/>
    <w:rsid w:val="00912E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D112D"/>
    <w:rPr>
      <w:sz w:val="16"/>
      <w:szCs w:val="16"/>
    </w:rPr>
  </w:style>
  <w:style w:type="paragraph" w:styleId="CommentText">
    <w:name w:val="annotation text"/>
    <w:basedOn w:val="Normal"/>
    <w:link w:val="CommentTextChar"/>
    <w:uiPriority w:val="99"/>
    <w:semiHidden/>
    <w:unhideWhenUsed/>
    <w:rsid w:val="009D112D"/>
    <w:rPr>
      <w:sz w:val="20"/>
      <w:szCs w:val="20"/>
    </w:rPr>
  </w:style>
  <w:style w:type="character" w:customStyle="1" w:styleId="CommentTextChar">
    <w:name w:val="Comment Text Char"/>
    <w:basedOn w:val="DefaultParagraphFont"/>
    <w:link w:val="CommentText"/>
    <w:uiPriority w:val="99"/>
    <w:semiHidden/>
    <w:rsid w:val="009D11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12D"/>
    <w:rPr>
      <w:b/>
      <w:bCs/>
    </w:rPr>
  </w:style>
  <w:style w:type="character" w:customStyle="1" w:styleId="CommentSubjectChar">
    <w:name w:val="Comment Subject Char"/>
    <w:basedOn w:val="CommentTextChar"/>
    <w:link w:val="CommentSubject"/>
    <w:uiPriority w:val="99"/>
    <w:semiHidden/>
    <w:rsid w:val="009D112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F22C1"/>
    <w:rPr>
      <w:color w:val="0000FF" w:themeColor="hyperlink"/>
      <w:u w:val="single"/>
    </w:rPr>
  </w:style>
  <w:style w:type="character" w:styleId="FollowedHyperlink">
    <w:name w:val="FollowedHyperlink"/>
    <w:basedOn w:val="DefaultParagraphFont"/>
    <w:uiPriority w:val="99"/>
    <w:semiHidden/>
    <w:unhideWhenUsed/>
    <w:rsid w:val="001E609D"/>
    <w:rPr>
      <w:color w:val="800080" w:themeColor="followedHyperlink"/>
      <w:u w:val="single"/>
    </w:rPr>
  </w:style>
  <w:style w:type="paragraph" w:styleId="EndnoteText">
    <w:name w:val="endnote text"/>
    <w:basedOn w:val="Normal"/>
    <w:link w:val="EndnoteTextChar"/>
    <w:uiPriority w:val="99"/>
    <w:semiHidden/>
    <w:unhideWhenUsed/>
    <w:rsid w:val="00A26AE1"/>
    <w:rPr>
      <w:sz w:val="20"/>
      <w:szCs w:val="20"/>
    </w:rPr>
  </w:style>
  <w:style w:type="character" w:customStyle="1" w:styleId="EndnoteTextChar">
    <w:name w:val="Endnote Text Char"/>
    <w:basedOn w:val="DefaultParagraphFont"/>
    <w:link w:val="EndnoteText"/>
    <w:uiPriority w:val="99"/>
    <w:semiHidden/>
    <w:rsid w:val="00A26AE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26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8598">
      <w:bodyDiv w:val="1"/>
      <w:marLeft w:val="0"/>
      <w:marRight w:val="0"/>
      <w:marTop w:val="0"/>
      <w:marBottom w:val="0"/>
      <w:divBdr>
        <w:top w:val="none" w:sz="0" w:space="0" w:color="auto"/>
        <w:left w:val="none" w:sz="0" w:space="0" w:color="auto"/>
        <w:bottom w:val="none" w:sz="0" w:space="0" w:color="auto"/>
        <w:right w:val="none" w:sz="0" w:space="0" w:color="auto"/>
      </w:divBdr>
    </w:div>
    <w:div w:id="1042439845">
      <w:bodyDiv w:val="1"/>
      <w:marLeft w:val="0"/>
      <w:marRight w:val="0"/>
      <w:marTop w:val="0"/>
      <w:marBottom w:val="0"/>
      <w:divBdr>
        <w:top w:val="none" w:sz="0" w:space="0" w:color="auto"/>
        <w:left w:val="none" w:sz="0" w:space="0" w:color="auto"/>
        <w:bottom w:val="none" w:sz="0" w:space="0" w:color="auto"/>
        <w:right w:val="none" w:sz="0" w:space="0" w:color="auto"/>
      </w:divBdr>
    </w:div>
    <w:div w:id="1131360336">
      <w:bodyDiv w:val="1"/>
      <w:marLeft w:val="0"/>
      <w:marRight w:val="0"/>
      <w:marTop w:val="0"/>
      <w:marBottom w:val="0"/>
      <w:divBdr>
        <w:top w:val="none" w:sz="0" w:space="0" w:color="auto"/>
        <w:left w:val="none" w:sz="0" w:space="0" w:color="auto"/>
        <w:bottom w:val="none" w:sz="0" w:space="0" w:color="auto"/>
        <w:right w:val="none" w:sz="0" w:space="0" w:color="auto"/>
      </w:divBdr>
    </w:div>
    <w:div w:id="1688798740">
      <w:bodyDiv w:val="1"/>
      <w:marLeft w:val="0"/>
      <w:marRight w:val="0"/>
      <w:marTop w:val="0"/>
      <w:marBottom w:val="0"/>
      <w:divBdr>
        <w:top w:val="none" w:sz="0" w:space="0" w:color="auto"/>
        <w:left w:val="none" w:sz="0" w:space="0" w:color="auto"/>
        <w:bottom w:val="none" w:sz="0" w:space="0" w:color="auto"/>
        <w:right w:val="none" w:sz="0" w:space="0" w:color="auto"/>
      </w:divBdr>
    </w:div>
    <w:div w:id="1798570496">
      <w:bodyDiv w:val="1"/>
      <w:marLeft w:val="0"/>
      <w:marRight w:val="0"/>
      <w:marTop w:val="0"/>
      <w:marBottom w:val="0"/>
      <w:divBdr>
        <w:top w:val="none" w:sz="0" w:space="0" w:color="auto"/>
        <w:left w:val="none" w:sz="0" w:space="0" w:color="auto"/>
        <w:bottom w:val="none" w:sz="0" w:space="0" w:color="auto"/>
        <w:right w:val="none" w:sz="0" w:space="0" w:color="auto"/>
      </w:divBdr>
    </w:div>
    <w:div w:id="1815753719">
      <w:bodyDiv w:val="1"/>
      <w:marLeft w:val="0"/>
      <w:marRight w:val="0"/>
      <w:marTop w:val="0"/>
      <w:marBottom w:val="0"/>
      <w:divBdr>
        <w:top w:val="none" w:sz="0" w:space="0" w:color="auto"/>
        <w:left w:val="none" w:sz="0" w:space="0" w:color="auto"/>
        <w:bottom w:val="none" w:sz="0" w:space="0" w:color="auto"/>
        <w:right w:val="none" w:sz="0" w:space="0" w:color="auto"/>
      </w:divBdr>
    </w:div>
    <w:div w:id="19548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br.org/2010/03/the-best-way-to-measure-compa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bes.com/sites/investor/2013/01/18/beware-weak-link-between-return-on-equity-and-high-stock-price-retur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'B-M Analysis'!$E$2</c:f>
              <c:strCache>
                <c:ptCount val="1"/>
                <c:pt idx="0">
                  <c:v>50th</c:v>
                </c:pt>
              </c:strCache>
            </c:strRef>
          </c:tx>
          <c:spPr>
            <a:ln w="19050"/>
          </c:spPr>
          <c:marker>
            <c:symbol val="diamond"/>
            <c:size val="4"/>
          </c:marker>
          <c:xVal>
            <c:numRef>
              <c:f>'B-M Analysis'!$B$3:$B$44</c:f>
              <c:numCache>
                <c:formatCode>General</c:formatCode>
                <c:ptCount val="42"/>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numCache>
            </c:numRef>
          </c:xVal>
          <c:yVal>
            <c:numRef>
              <c:f>'B-M Analysis'!$E$3:$E$44</c:f>
              <c:numCache>
                <c:formatCode>General</c:formatCode>
                <c:ptCount val="42"/>
                <c:pt idx="1">
                  <c:v>1.887</c:v>
                </c:pt>
                <c:pt idx="2">
                  <c:v>1.375</c:v>
                </c:pt>
                <c:pt idx="3">
                  <c:v>1.083</c:v>
                </c:pt>
                <c:pt idx="4">
                  <c:v>1.1279999999999999</c:v>
                </c:pt>
                <c:pt idx="5">
                  <c:v>1.202</c:v>
                </c:pt>
                <c:pt idx="6">
                  <c:v>1.091</c:v>
                </c:pt>
                <c:pt idx="7">
                  <c:v>1.028</c:v>
                </c:pt>
                <c:pt idx="8">
                  <c:v>1.093</c:v>
                </c:pt>
                <c:pt idx="9">
                  <c:v>0.99199999999999999</c:v>
                </c:pt>
                <c:pt idx="10">
                  <c:v>0.81100000000000005</c:v>
                </c:pt>
                <c:pt idx="11">
                  <c:v>0.90900000000000003</c:v>
                </c:pt>
                <c:pt idx="12">
                  <c:v>0.76800000000000002</c:v>
                </c:pt>
                <c:pt idx="13">
                  <c:v>0.73</c:v>
                </c:pt>
                <c:pt idx="14">
                  <c:v>0.85799999999999998</c:v>
                </c:pt>
                <c:pt idx="15">
                  <c:v>0.76600000000000001</c:v>
                </c:pt>
                <c:pt idx="16">
                  <c:v>0.69899999999999995</c:v>
                </c:pt>
                <c:pt idx="17">
                  <c:v>0.90500000000000003</c:v>
                </c:pt>
                <c:pt idx="18">
                  <c:v>0.70199999999999996</c:v>
                </c:pt>
                <c:pt idx="19">
                  <c:v>0.63300000000000001</c:v>
                </c:pt>
                <c:pt idx="20">
                  <c:v>0.58899999999999997</c:v>
                </c:pt>
                <c:pt idx="21">
                  <c:v>0.65300000000000002</c:v>
                </c:pt>
                <c:pt idx="22">
                  <c:v>0.56499999999999995</c:v>
                </c:pt>
                <c:pt idx="23">
                  <c:v>0.52500000000000002</c:v>
                </c:pt>
                <c:pt idx="24">
                  <c:v>0.45800000000000002</c:v>
                </c:pt>
                <c:pt idx="25">
                  <c:v>0.55000000000000004</c:v>
                </c:pt>
                <c:pt idx="26">
                  <c:v>0.64400000000000002</c:v>
                </c:pt>
                <c:pt idx="27">
                  <c:v>0.61399999999999999</c:v>
                </c:pt>
                <c:pt idx="28">
                  <c:v>0.60599999999999998</c:v>
                </c:pt>
                <c:pt idx="29">
                  <c:v>0.69199999999999995</c:v>
                </c:pt>
                <c:pt idx="30">
                  <c:v>0.54400000000000004</c:v>
                </c:pt>
                <c:pt idx="31">
                  <c:v>0.5</c:v>
                </c:pt>
                <c:pt idx="32">
                  <c:v>0.501</c:v>
                </c:pt>
                <c:pt idx="33">
                  <c:v>0.48799999999999999</c:v>
                </c:pt>
                <c:pt idx="34">
                  <c:v>0.55200000000000005</c:v>
                </c:pt>
                <c:pt idx="35">
                  <c:v>0.85799999999999998</c:v>
                </c:pt>
                <c:pt idx="36">
                  <c:v>0.65800000000000003</c:v>
                </c:pt>
                <c:pt idx="37">
                  <c:v>0.57899999999999996</c:v>
                </c:pt>
                <c:pt idx="38">
                  <c:v>0.67800000000000005</c:v>
                </c:pt>
                <c:pt idx="39">
                  <c:v>0.60899999999999999</c:v>
                </c:pt>
                <c:pt idx="40">
                  <c:v>0.47299999999999998</c:v>
                </c:pt>
                <c:pt idx="41">
                  <c:v>0.48199999999999998</c:v>
                </c:pt>
              </c:numCache>
            </c:numRef>
          </c:yVal>
          <c:smooth val="0"/>
        </c:ser>
        <c:ser>
          <c:idx val="1"/>
          <c:order val="1"/>
          <c:tx>
            <c:strRef>
              <c:f>'B-M Analysis'!$D$2</c:f>
              <c:strCache>
                <c:ptCount val="1"/>
                <c:pt idx="0">
                  <c:v>25th</c:v>
                </c:pt>
              </c:strCache>
            </c:strRef>
          </c:tx>
          <c:spPr>
            <a:ln w="19050">
              <a:prstDash val="sysDash"/>
            </a:ln>
          </c:spPr>
          <c:marker>
            <c:symbol val="square"/>
            <c:size val="3"/>
          </c:marker>
          <c:xVal>
            <c:numRef>
              <c:f>'B-M Analysis'!$B$3:$B$44</c:f>
              <c:numCache>
                <c:formatCode>General</c:formatCode>
                <c:ptCount val="42"/>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numCache>
            </c:numRef>
          </c:xVal>
          <c:yVal>
            <c:numRef>
              <c:f>'B-M Analysis'!$D$3:$D$44</c:f>
              <c:numCache>
                <c:formatCode>General</c:formatCode>
                <c:ptCount val="42"/>
                <c:pt idx="1">
                  <c:v>1.244</c:v>
                </c:pt>
                <c:pt idx="2">
                  <c:v>0.876</c:v>
                </c:pt>
                <c:pt idx="3">
                  <c:v>0.72899999999999998</c:v>
                </c:pt>
                <c:pt idx="4">
                  <c:v>0.78500000000000003</c:v>
                </c:pt>
                <c:pt idx="5">
                  <c:v>0.81599999999999995</c:v>
                </c:pt>
                <c:pt idx="6">
                  <c:v>0.7</c:v>
                </c:pt>
                <c:pt idx="7">
                  <c:v>0.60799999999999998</c:v>
                </c:pt>
                <c:pt idx="8">
                  <c:v>0.68500000000000005</c:v>
                </c:pt>
                <c:pt idx="9">
                  <c:v>0.59099999999999997</c:v>
                </c:pt>
                <c:pt idx="10">
                  <c:v>0.51200000000000001</c:v>
                </c:pt>
                <c:pt idx="11">
                  <c:v>0.6</c:v>
                </c:pt>
                <c:pt idx="12">
                  <c:v>0.501</c:v>
                </c:pt>
                <c:pt idx="13">
                  <c:v>0.48199999999999998</c:v>
                </c:pt>
                <c:pt idx="14">
                  <c:v>0.55000000000000004</c:v>
                </c:pt>
                <c:pt idx="15">
                  <c:v>0.51500000000000001</c:v>
                </c:pt>
                <c:pt idx="16">
                  <c:v>0.435</c:v>
                </c:pt>
                <c:pt idx="17">
                  <c:v>0.55000000000000004</c:v>
                </c:pt>
                <c:pt idx="18">
                  <c:v>0.41899999999999998</c:v>
                </c:pt>
                <c:pt idx="19">
                  <c:v>0.39300000000000002</c:v>
                </c:pt>
                <c:pt idx="20">
                  <c:v>0.379</c:v>
                </c:pt>
                <c:pt idx="21">
                  <c:v>0.41399999999999998</c:v>
                </c:pt>
                <c:pt idx="22">
                  <c:v>0.35599999999999998</c:v>
                </c:pt>
                <c:pt idx="23">
                  <c:v>0.33700000000000002</c:v>
                </c:pt>
                <c:pt idx="24">
                  <c:v>0.29599999999999999</c:v>
                </c:pt>
                <c:pt idx="25">
                  <c:v>0.32400000000000001</c:v>
                </c:pt>
                <c:pt idx="26">
                  <c:v>0.35899999999999999</c:v>
                </c:pt>
                <c:pt idx="27">
                  <c:v>0.36199999999999999</c:v>
                </c:pt>
                <c:pt idx="28">
                  <c:v>0.372</c:v>
                </c:pt>
                <c:pt idx="29">
                  <c:v>0.42399999999999999</c:v>
                </c:pt>
                <c:pt idx="30">
                  <c:v>0.34799999999999998</c:v>
                </c:pt>
                <c:pt idx="31">
                  <c:v>0.32800000000000001</c:v>
                </c:pt>
                <c:pt idx="32">
                  <c:v>0.32100000000000001</c:v>
                </c:pt>
                <c:pt idx="33">
                  <c:v>0.316</c:v>
                </c:pt>
                <c:pt idx="34">
                  <c:v>0.32600000000000001</c:v>
                </c:pt>
                <c:pt idx="35">
                  <c:v>0.5</c:v>
                </c:pt>
                <c:pt idx="36">
                  <c:v>0.41399999999999998</c:v>
                </c:pt>
                <c:pt idx="37">
                  <c:v>0.36099999999999999</c:v>
                </c:pt>
                <c:pt idx="38">
                  <c:v>0.41299999999999998</c:v>
                </c:pt>
                <c:pt idx="39">
                  <c:v>0.36699999999999999</c:v>
                </c:pt>
                <c:pt idx="40">
                  <c:v>0.29099999999999998</c:v>
                </c:pt>
                <c:pt idx="41">
                  <c:v>0.28000000000000003</c:v>
                </c:pt>
              </c:numCache>
            </c:numRef>
          </c:yVal>
          <c:smooth val="0"/>
        </c:ser>
        <c:ser>
          <c:idx val="2"/>
          <c:order val="2"/>
          <c:tx>
            <c:strRef>
              <c:f>'B-M Analysis'!$C$2</c:f>
              <c:strCache>
                <c:ptCount val="1"/>
                <c:pt idx="0">
                  <c:v>5th</c:v>
                </c:pt>
              </c:strCache>
            </c:strRef>
          </c:tx>
          <c:spPr>
            <a:ln w="19050">
              <a:solidFill>
                <a:schemeClr val="tx1"/>
              </a:solidFill>
              <a:prstDash val="sysDot"/>
            </a:ln>
          </c:spPr>
          <c:marker>
            <c:symbol val="triangle"/>
            <c:size val="4"/>
            <c:spPr>
              <a:solidFill>
                <a:schemeClr val="tx1"/>
              </a:solidFill>
            </c:spPr>
          </c:marker>
          <c:xVal>
            <c:numRef>
              <c:f>'B-M Analysis'!$B$3:$B$44</c:f>
              <c:numCache>
                <c:formatCode>General</c:formatCode>
                <c:ptCount val="42"/>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numCache>
            </c:numRef>
          </c:xVal>
          <c:yVal>
            <c:numRef>
              <c:f>'B-M Analysis'!$C$3:$C$44</c:f>
              <c:numCache>
                <c:formatCode>General</c:formatCode>
                <c:ptCount val="42"/>
                <c:pt idx="1">
                  <c:v>0.438</c:v>
                </c:pt>
                <c:pt idx="2">
                  <c:v>0.36499999999999999</c:v>
                </c:pt>
                <c:pt idx="3">
                  <c:v>0.33900000000000002</c:v>
                </c:pt>
                <c:pt idx="4">
                  <c:v>0.40799999999999997</c:v>
                </c:pt>
                <c:pt idx="5">
                  <c:v>0.39100000000000001</c:v>
                </c:pt>
                <c:pt idx="6">
                  <c:v>0.34699999999999998</c:v>
                </c:pt>
                <c:pt idx="7">
                  <c:v>0.27400000000000002</c:v>
                </c:pt>
                <c:pt idx="8">
                  <c:v>0.36299999999999999</c:v>
                </c:pt>
                <c:pt idx="9">
                  <c:v>0.29199999999999998</c:v>
                </c:pt>
                <c:pt idx="10">
                  <c:v>0.25900000000000001</c:v>
                </c:pt>
                <c:pt idx="11">
                  <c:v>0.307</c:v>
                </c:pt>
                <c:pt idx="12">
                  <c:v>0.25900000000000001</c:v>
                </c:pt>
                <c:pt idx="13">
                  <c:v>0.21</c:v>
                </c:pt>
                <c:pt idx="14">
                  <c:v>0.24</c:v>
                </c:pt>
                <c:pt idx="15">
                  <c:v>0.245</c:v>
                </c:pt>
                <c:pt idx="16">
                  <c:v>0.20200000000000001</c:v>
                </c:pt>
                <c:pt idx="17">
                  <c:v>0.224</c:v>
                </c:pt>
                <c:pt idx="18">
                  <c:v>0.16400000000000001</c:v>
                </c:pt>
                <c:pt idx="19">
                  <c:v>0.16900000000000001</c:v>
                </c:pt>
                <c:pt idx="20">
                  <c:v>0.16700000000000001</c:v>
                </c:pt>
                <c:pt idx="21">
                  <c:v>0.19400000000000001</c:v>
                </c:pt>
                <c:pt idx="22">
                  <c:v>0.14899999999999999</c:v>
                </c:pt>
                <c:pt idx="23">
                  <c:v>0.14699999999999999</c:v>
                </c:pt>
                <c:pt idx="24">
                  <c:v>0.13</c:v>
                </c:pt>
                <c:pt idx="25">
                  <c:v>0.11600000000000001</c:v>
                </c:pt>
                <c:pt idx="26">
                  <c:v>0.109</c:v>
                </c:pt>
                <c:pt idx="27">
                  <c:v>0.126</c:v>
                </c:pt>
                <c:pt idx="28">
                  <c:v>0.13300000000000001</c:v>
                </c:pt>
                <c:pt idx="29">
                  <c:v>0.16600000000000001</c:v>
                </c:pt>
                <c:pt idx="30">
                  <c:v>0.14499999999999999</c:v>
                </c:pt>
                <c:pt idx="31">
                  <c:v>0.14499999999999999</c:v>
                </c:pt>
                <c:pt idx="32">
                  <c:v>0.15</c:v>
                </c:pt>
                <c:pt idx="33">
                  <c:v>0.14000000000000001</c:v>
                </c:pt>
                <c:pt idx="34">
                  <c:v>0.152</c:v>
                </c:pt>
                <c:pt idx="35">
                  <c:v>0.20799999999999999</c:v>
                </c:pt>
                <c:pt idx="36">
                  <c:v>0.16600000000000001</c:v>
                </c:pt>
                <c:pt idx="37">
                  <c:v>0.14799999999999999</c:v>
                </c:pt>
                <c:pt idx="38">
                  <c:v>0.16400000000000001</c:v>
                </c:pt>
                <c:pt idx="39">
                  <c:v>0.14199999999999999</c:v>
                </c:pt>
                <c:pt idx="40">
                  <c:v>0.109</c:v>
                </c:pt>
                <c:pt idx="41">
                  <c:v>0.10299999999999999</c:v>
                </c:pt>
              </c:numCache>
            </c:numRef>
          </c:yVal>
          <c:smooth val="0"/>
        </c:ser>
        <c:dLbls>
          <c:showLegendKey val="0"/>
          <c:showVal val="0"/>
          <c:showCatName val="0"/>
          <c:showSerName val="0"/>
          <c:showPercent val="0"/>
          <c:showBubbleSize val="0"/>
        </c:dLbls>
        <c:axId val="-877576608"/>
        <c:axId val="-945420736"/>
      </c:scatterChart>
      <c:valAx>
        <c:axId val="-877576608"/>
        <c:scaling>
          <c:orientation val="minMax"/>
          <c:max val="2015"/>
          <c:min val="1975"/>
        </c:scaling>
        <c:delete val="0"/>
        <c:axPos val="b"/>
        <c:numFmt formatCode="General" sourceLinked="1"/>
        <c:majorTickMark val="out"/>
        <c:minorTickMark val="none"/>
        <c:tickLblPos val="nextTo"/>
        <c:crossAx val="-945420736"/>
        <c:crosses val="autoZero"/>
        <c:crossBetween val="midCat"/>
      </c:valAx>
      <c:valAx>
        <c:axId val="-945420736"/>
        <c:scaling>
          <c:orientation val="minMax"/>
          <c:max val="2"/>
        </c:scaling>
        <c:delete val="0"/>
        <c:axPos val="l"/>
        <c:majorGridlines/>
        <c:numFmt formatCode="#,##0.0" sourceLinked="0"/>
        <c:majorTickMark val="out"/>
        <c:minorTickMark val="none"/>
        <c:tickLblPos val="nextTo"/>
        <c:crossAx val="-877576608"/>
        <c:crosses val="autoZero"/>
        <c:crossBetween val="midCat"/>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1DEC0-BEB3-4839-AFD8-F47E4E97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The New ROME: Teaching DuPont Analysis in an Intangible World</vt:lpstr>
    </vt:vector>
  </TitlesOfParts>
  <Company/>
  <LinksUpToDate>false</LinksUpToDate>
  <CharactersWithSpaces>24062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ROME: Teaching DuPont Analysis in an Intangible World</dc:title>
  <dc:creator>Kate Upton</dc:creator>
  <cp:lastModifiedBy>stuart micheson</cp:lastModifiedBy>
  <cp:revision>2</cp:revision>
  <dcterms:created xsi:type="dcterms:W3CDTF">2017-01-05T16:10:00Z</dcterms:created>
  <dcterms:modified xsi:type="dcterms:W3CDTF">2017-01-05T16:10:00Z</dcterms:modified>
</cp:coreProperties>
</file>